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74" w:rsidRPr="0035497D" w:rsidRDefault="00203974" w:rsidP="00752A10">
      <w:pPr>
        <w:pStyle w:val="Header"/>
      </w:pPr>
    </w:p>
    <w:p w:rsidR="00203974" w:rsidRPr="0035497D" w:rsidRDefault="00203974" w:rsidP="00752A10">
      <w:pPr>
        <w:pStyle w:val="Header"/>
      </w:pPr>
    </w:p>
    <w:p w:rsidR="00203974" w:rsidRPr="0035497D" w:rsidRDefault="00203974" w:rsidP="00752A10"/>
    <w:p w:rsidR="00203974" w:rsidRPr="0035497D" w:rsidRDefault="00203974" w:rsidP="00752A10"/>
    <w:p w:rsidR="00203974" w:rsidRPr="0035497D" w:rsidRDefault="00203974" w:rsidP="00752A10">
      <w:pPr>
        <w:pStyle w:val="Title"/>
      </w:pPr>
      <w:r w:rsidRPr="0035497D">
        <w:t>A REJTETT TÖBBSÉG – módszertani útmutató</w:t>
      </w:r>
    </w:p>
    <w:p w:rsidR="00203974" w:rsidRPr="0035497D" w:rsidRDefault="00203974" w:rsidP="00752A10"/>
    <w:p w:rsidR="00203974" w:rsidRPr="0035497D" w:rsidRDefault="00BE5C55" w:rsidP="00752A10">
      <w:pPr>
        <w:pStyle w:val="Subtitle"/>
      </w:pPr>
      <w:r w:rsidRPr="0035497D">
        <w:rPr>
          <w:bCs/>
        </w:rPr>
        <w:t>A vakok és a gyengénlátók gazdasági inaktivitásának vizsgálata</w:t>
      </w:r>
    </w:p>
    <w:p w:rsidR="00203974" w:rsidRPr="0035497D" w:rsidRDefault="00203974" w:rsidP="00752A10">
      <w:pPr>
        <w:jc w:val="center"/>
        <w:rPr>
          <w:sz w:val="32"/>
          <w:szCs w:val="32"/>
        </w:rPr>
      </w:pPr>
    </w:p>
    <w:p w:rsidR="00203974" w:rsidRPr="0035497D" w:rsidRDefault="00203974" w:rsidP="00752A10">
      <w:pPr>
        <w:jc w:val="center"/>
        <w:rPr>
          <w:sz w:val="32"/>
          <w:szCs w:val="32"/>
        </w:rPr>
      </w:pPr>
    </w:p>
    <w:p w:rsidR="00203974" w:rsidRPr="0035497D" w:rsidRDefault="00203974" w:rsidP="00752A10">
      <w:pPr>
        <w:jc w:val="center"/>
        <w:rPr>
          <w:sz w:val="32"/>
          <w:szCs w:val="32"/>
        </w:rPr>
      </w:pPr>
    </w:p>
    <w:p w:rsidR="00203974" w:rsidRPr="0035497D" w:rsidRDefault="00203974" w:rsidP="00752A10">
      <w:pPr>
        <w:jc w:val="center"/>
        <w:rPr>
          <w:b/>
          <w:sz w:val="32"/>
          <w:szCs w:val="32"/>
        </w:rPr>
      </w:pPr>
      <w:r w:rsidRPr="0035497D">
        <w:rPr>
          <w:b/>
          <w:bCs/>
          <w:sz w:val="32"/>
          <w:szCs w:val="32"/>
        </w:rPr>
        <w:t>Szerzők:</w:t>
      </w:r>
    </w:p>
    <w:p w:rsidR="00203974" w:rsidRPr="0035497D" w:rsidRDefault="00203974" w:rsidP="00752A10">
      <w:pPr>
        <w:jc w:val="center"/>
        <w:rPr>
          <w:b/>
          <w:sz w:val="32"/>
          <w:szCs w:val="32"/>
        </w:rPr>
      </w:pPr>
      <w:r w:rsidRPr="0035497D">
        <w:rPr>
          <w:b/>
          <w:bCs/>
          <w:sz w:val="32"/>
          <w:szCs w:val="32"/>
        </w:rPr>
        <w:t>Philippa Simkiss és Fred Reid</w:t>
      </w:r>
    </w:p>
    <w:p w:rsidR="00203974" w:rsidRPr="0035497D" w:rsidRDefault="00203974" w:rsidP="00752A10">
      <w:pPr>
        <w:jc w:val="center"/>
        <w:rPr>
          <w:b/>
          <w:sz w:val="32"/>
          <w:szCs w:val="32"/>
        </w:rPr>
      </w:pPr>
    </w:p>
    <w:p w:rsidR="00203974" w:rsidRPr="0035497D" w:rsidRDefault="00203974" w:rsidP="00752A10">
      <w:pPr>
        <w:jc w:val="center"/>
        <w:rPr>
          <w:b/>
          <w:sz w:val="32"/>
          <w:szCs w:val="32"/>
        </w:rPr>
      </w:pPr>
      <w:r w:rsidRPr="0035497D">
        <w:rPr>
          <w:b/>
          <w:bCs/>
          <w:sz w:val="32"/>
          <w:szCs w:val="32"/>
        </w:rPr>
        <w:t>2013.</w:t>
      </w:r>
    </w:p>
    <w:p w:rsidR="00203974" w:rsidRPr="0035497D" w:rsidRDefault="00203974" w:rsidP="00752A10"/>
    <w:p w:rsidR="00203974" w:rsidRPr="0035497D" w:rsidRDefault="00203974" w:rsidP="00752A10"/>
    <w:p w:rsidR="00203974" w:rsidRPr="0035497D" w:rsidRDefault="00AC5430" w:rsidP="00752A10">
      <w:r w:rsidRPr="00AC5430">
        <w:rPr>
          <w:noProof/>
        </w:rPr>
        <w:pict>
          <v:group id="_x0000_s1026" style="position:absolute;left:0;text-align:left;margin-left:0;margin-top:106.95pt;width:594.65pt;height:118.65pt;z-index:251658240;mso-position-horizontal:center;mso-position-horizontal-relative:margin" coordorigin="94,11795" coordsize="11893,23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Logo RNIB supporting blind and partially sighted people&#10;Registered charity number 226227" style="position:absolute;left:94;top:11795;width:11893;height:2373;mso-position-horizontal-relative:page;mso-position-vertical-relative:page">
              <v:imagedata r:id="rId7" o:title="Layout 1_Page 1 copy"/>
            </v:shape>
            <v:shape id="_x0000_s1028" type="#_x0000_t75" style="position:absolute;left:7023;top:12123;width:4338;height:1589;mso-position-horizontal-relative:margin" wrapcoords="-66 0 -66 21420 21600 21420 21600 0 -66 0">
              <v:imagedata r:id="rId8" o:title="EBU_logo_rvb"/>
            </v:shape>
            <w10:wrap anchorx="margin"/>
          </v:group>
        </w:pict>
      </w:r>
      <w:r w:rsidR="00753F30" w:rsidRPr="0035497D">
        <w:br w:type="page"/>
      </w:r>
    </w:p>
    <w:p w:rsidR="00C213FD" w:rsidRPr="0035497D" w:rsidRDefault="00B513F8" w:rsidP="00CB58A6">
      <w:pPr>
        <w:pStyle w:val="Heading1"/>
      </w:pPr>
      <w:r w:rsidRPr="0035497D">
        <w:lastRenderedPageBreak/>
        <w:t xml:space="preserve">Kikből áll a </w:t>
      </w:r>
      <w:r w:rsidR="00CB58A6" w:rsidRPr="0035497D">
        <w:t>„</w:t>
      </w:r>
      <w:r w:rsidRPr="0035497D">
        <w:t>rejtett többség</w:t>
      </w:r>
      <w:r w:rsidR="00CB58A6" w:rsidRPr="0035497D">
        <w:t>”</w:t>
      </w:r>
      <w:r w:rsidRPr="0035497D">
        <w:t>?</w:t>
      </w:r>
    </w:p>
    <w:p w:rsidR="0045727A" w:rsidRPr="0035497D" w:rsidRDefault="0045727A" w:rsidP="00752A10">
      <w:r w:rsidRPr="0035497D">
        <w:t>A dolgozó, illetve a munkanélküli, de aktív munkakereső emberek gazdaságilag aktívnak, míg e két kategórián kívül esők gazdaságilag inaktívnak minősülnek.</w:t>
      </w:r>
    </w:p>
    <w:p w:rsidR="00C213FD" w:rsidRPr="0035497D" w:rsidRDefault="0045727A" w:rsidP="00752A10">
      <w:r w:rsidRPr="0035497D">
        <w:t>Noha Unió-szerte a vakok és a gyengénlátók számos különféle foglalkozást űznek, az EBU által gyűjtött bizonyítékok alapján az Európai Unió tagországaiban e csoporton belül a gazdasági inaktivitás mértéke igen nagy (40–80%).</w:t>
      </w:r>
      <w:r w:rsidR="00CB58A6" w:rsidRPr="0035497D">
        <w:t xml:space="preserve"> </w:t>
      </w:r>
      <w:r w:rsidRPr="0035497D">
        <w:t>Az EBU egy sor részletes jelentést készíttetett a PROGRESS közösségi foglalkoztatási és társadalmi szolidaritási program és a Vakok Királyi Nemzeti Intézete (Royal Institute of Blind People) támogatásával.</w:t>
      </w:r>
    </w:p>
    <w:p w:rsidR="0045727A" w:rsidRPr="0035497D" w:rsidRDefault="00C213FD" w:rsidP="00752A10">
      <w:r w:rsidRPr="0035497D">
        <w:t xml:space="preserve">Az EBU honlapján is elérhető jelentések azt támasztják alá, hogy az Unió egészén belül a gazdaságilag inaktív vakok és gyengénlátók csoportja egyfajta </w:t>
      </w:r>
      <w:r w:rsidR="00CB58A6" w:rsidRPr="0035497D">
        <w:t>„</w:t>
      </w:r>
      <w:r w:rsidRPr="0035497D">
        <w:t>rejtett többséget</w:t>
      </w:r>
      <w:r w:rsidR="00CB58A6" w:rsidRPr="0035497D">
        <w:t>”</w:t>
      </w:r>
      <w:r w:rsidRPr="0035497D">
        <w:t xml:space="preserve"> alkot.</w:t>
      </w:r>
    </w:p>
    <w:p w:rsidR="0045727A" w:rsidRPr="0035497D" w:rsidRDefault="00B513F8" w:rsidP="00CB58A6">
      <w:pPr>
        <w:pStyle w:val="Heading1"/>
      </w:pPr>
      <w:r w:rsidRPr="0035497D">
        <w:t xml:space="preserve">Kinek kell tudnia </w:t>
      </w:r>
      <w:r w:rsidR="00B120BE">
        <w:t>e</w:t>
      </w:r>
      <w:r w:rsidRPr="0035497D">
        <w:t xml:space="preserve"> rejtett többség létezéséről?</w:t>
      </w:r>
    </w:p>
    <w:p w:rsidR="00CB58A6" w:rsidRPr="0035497D" w:rsidRDefault="00B513F8" w:rsidP="00752A10">
      <w:r w:rsidRPr="0035497D">
        <w:t>Mivel a munkaképes korú vakok és gyengénlátók legnagyobb részét e csoport teszi ki, a politikai döntéshozóknak és a</w:t>
      </w:r>
      <w:r w:rsidR="00CB58A6" w:rsidRPr="0035497D">
        <w:t> </w:t>
      </w:r>
      <w:r w:rsidRPr="0035497D">
        <w:t>szolgáltatóknak fontos tisztában lenniük azzal, miként vonhatják be a gazdaságilag inaktív vakokat és gyengénlátókat a gazdasági életbe, illetve miként igazíthatják az ellátásokat, támogatásokat az ő igényeikhez.</w:t>
      </w:r>
    </w:p>
    <w:p w:rsidR="00CB58A6" w:rsidRPr="0035497D" w:rsidRDefault="0012521C" w:rsidP="00752A10">
      <w:r w:rsidRPr="0035497D">
        <w:t>Az EBU tagjai a munkaképes korú, gazdaságilag inaktív vakok és gyengénlátók számarányának ismeretében megfelelő intézkedéseket tehetnek a vakok és a gyengénlátók számára nyújtott szolgáltatások színvonalának javítása érdekében.</w:t>
      </w:r>
    </w:p>
    <w:p w:rsidR="002241AC" w:rsidRPr="0035497D" w:rsidRDefault="002241AC" w:rsidP="00752A10"/>
    <w:p w:rsidR="002241AC" w:rsidRPr="0035497D" w:rsidRDefault="002241AC" w:rsidP="00752A10"/>
    <w:p w:rsidR="002241AC" w:rsidRPr="0035497D" w:rsidRDefault="002241AC" w:rsidP="00752A10"/>
    <w:p w:rsidR="00140462" w:rsidRPr="0035497D" w:rsidRDefault="00B513F8" w:rsidP="00CB58A6">
      <w:pPr>
        <w:pStyle w:val="Heading1"/>
      </w:pPr>
      <w:r w:rsidRPr="0035497D">
        <w:lastRenderedPageBreak/>
        <w:t>A rejtett többség felkutatása</w:t>
      </w:r>
    </w:p>
    <w:p w:rsidR="00CB58A6" w:rsidRPr="0035497D" w:rsidRDefault="00BA1151" w:rsidP="00CB58A6">
      <w:pPr>
        <w:pStyle w:val="Heading2"/>
      </w:pPr>
      <w:r w:rsidRPr="0035497D">
        <w:t>Módszer</w:t>
      </w:r>
    </w:p>
    <w:p w:rsidR="00BA1151" w:rsidRPr="0035497D" w:rsidRDefault="00BA1151" w:rsidP="00CF45C1">
      <w:r w:rsidRPr="0035497D">
        <w:t>Félig strukturált interjúk az interjúalanyoknak előzetesen kiküldött kérdésekkel.</w:t>
      </w:r>
    </w:p>
    <w:p w:rsidR="00CB58A6" w:rsidRPr="0035497D" w:rsidRDefault="00BA1151" w:rsidP="00CB58A6">
      <w:pPr>
        <w:pStyle w:val="Heading2"/>
      </w:pPr>
      <w:r w:rsidRPr="0035497D">
        <w:t>Interjúalanyok</w:t>
      </w:r>
    </w:p>
    <w:p w:rsidR="00BA1151" w:rsidRPr="0035497D" w:rsidRDefault="00BA1151" w:rsidP="00CF45C1">
      <w:pPr>
        <w:pStyle w:val="ListBullet"/>
      </w:pPr>
      <w:r w:rsidRPr="0035497D">
        <w:t>az állami munkaközvetítő szolgálaton belül a vakokkal és a</w:t>
      </w:r>
      <w:r w:rsidR="00CB58A6" w:rsidRPr="0035497D">
        <w:t> </w:t>
      </w:r>
      <w:r w:rsidRPr="0035497D">
        <w:t>gyengénlátókkal foglalkozó egyének;</w:t>
      </w:r>
    </w:p>
    <w:p w:rsidR="00BA1151" w:rsidRPr="0035497D" w:rsidRDefault="00BA1151" w:rsidP="00CF45C1">
      <w:pPr>
        <w:pStyle w:val="ListBullet"/>
      </w:pPr>
      <w:r w:rsidRPr="0035497D">
        <w:t>a foglalkoztatás fellendítését célzó intézkedések felelősei;</w:t>
      </w:r>
    </w:p>
    <w:p w:rsidR="00CB58A6" w:rsidRPr="0035497D" w:rsidRDefault="00BA1151" w:rsidP="00CF45C1">
      <w:pPr>
        <w:pStyle w:val="ListBullet"/>
      </w:pPr>
      <w:r w:rsidRPr="0035497D">
        <w:t>tájékozott megfigyelők, köztük a vakokat képviselő jelentősebb szervezetek képviselői.</w:t>
      </w:r>
    </w:p>
    <w:p w:rsidR="00CB58A6" w:rsidRPr="0035497D" w:rsidRDefault="0012521C" w:rsidP="00752A10">
      <w:r w:rsidRPr="0035497D">
        <w:rPr>
          <w:b/>
          <w:bCs/>
        </w:rPr>
        <w:t>Tipp:</w:t>
      </w:r>
      <w:r w:rsidRPr="0035497D">
        <w:t xml:space="preserve"> Az EBU tagjai hasznos segítséget nyújtottak a legfontosabb interjúalanyok felkutatásához.</w:t>
      </w:r>
    </w:p>
    <w:p w:rsidR="00BA1151" w:rsidRPr="0035497D" w:rsidRDefault="0012521C" w:rsidP="00752A10">
      <w:r w:rsidRPr="0035497D">
        <w:rPr>
          <w:b/>
          <w:bCs/>
        </w:rPr>
        <w:t>Fontos információ:</w:t>
      </w:r>
      <w:r w:rsidRPr="0035497D">
        <w:t xml:space="preserve"> Az anonimitás minden résztvevő számára biztosított, és az adott válaszokból egyetlen esetben sem lehet következtetni az interjúalany személyére.</w:t>
      </w:r>
    </w:p>
    <w:p w:rsidR="00CB58A6" w:rsidRPr="0035497D" w:rsidRDefault="008B6775" w:rsidP="00CB58A6">
      <w:pPr>
        <w:pStyle w:val="Heading2"/>
      </w:pPr>
      <w:r w:rsidRPr="0035497D">
        <w:t>Az interjú során érintett témakörök</w:t>
      </w:r>
    </w:p>
    <w:p w:rsidR="00203974" w:rsidRPr="0035497D" w:rsidRDefault="000A5E8F" w:rsidP="00752A10">
      <w:r w:rsidRPr="0035497D">
        <w:t>A foglalkoztatás ösztönzését célzó intézkedések és a</w:t>
      </w:r>
      <w:r w:rsidR="00CB58A6" w:rsidRPr="0035497D">
        <w:t> </w:t>
      </w:r>
      <w:r w:rsidRPr="0035497D">
        <w:t>foglalkoztatást elősegítő szolgáltatások vizsgálatához, valamint a rejtett többségre vonatkozó bizonyítékok gyűjtéséhez a feltett kérdéseket az alábbi témák köré kell csoportosítani:</w:t>
      </w:r>
    </w:p>
    <w:p w:rsidR="00203974" w:rsidRPr="0035497D" w:rsidRDefault="00203974" w:rsidP="00FD2AD4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 w:rsidRPr="0035497D">
        <w:t>a vakság és/vagy gyengénlátás jogszabályi definíciója, amely meghatározza, ki válhat jogosulttá a speciális foglalkoztatásösztönző programokban történő részvételre</w:t>
      </w:r>
    </w:p>
    <w:p w:rsidR="00203974" w:rsidRPr="0035497D" w:rsidRDefault="00203974" w:rsidP="00FD2AD4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 w:rsidRPr="0035497D">
        <w:t>a foglalkoztatott vakok és gyengénlátók száma kor, nem és további fogyatékosságok szerinti bontásban</w:t>
      </w:r>
    </w:p>
    <w:p w:rsidR="00203974" w:rsidRDefault="00203974" w:rsidP="00FD2AD4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 w:rsidRPr="0035497D">
        <w:t>a vakok és gyengénlátók által űzött foglalkozások köre a</w:t>
      </w:r>
      <w:r w:rsidR="00CF45C1" w:rsidRPr="0035497D">
        <w:t> </w:t>
      </w:r>
      <w:r w:rsidRPr="0035497D">
        <w:t>különösen nagy számban űzött foglalkozások megjelölésével</w:t>
      </w:r>
    </w:p>
    <w:p w:rsidR="00210F58" w:rsidRPr="0035497D" w:rsidRDefault="00210F58" w:rsidP="00210F58">
      <w:pPr>
        <w:pStyle w:val="ListNumber"/>
        <w:numPr>
          <w:ilvl w:val="0"/>
          <w:numId w:val="0"/>
        </w:numPr>
        <w:spacing w:after="240"/>
        <w:ind w:left="360" w:hanging="360"/>
      </w:pPr>
    </w:p>
    <w:p w:rsidR="00203974" w:rsidRPr="0035497D" w:rsidRDefault="00203974" w:rsidP="00FD2AD4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 w:rsidRPr="0035497D">
        <w:lastRenderedPageBreak/>
        <w:t>az aktívan munkát kereső vakok és/vagy gyengénlátók száma kor, nem és esetleges további fogyatékosságok szerinti bontásban</w:t>
      </w:r>
    </w:p>
    <w:p w:rsidR="00203974" w:rsidRPr="0035497D" w:rsidRDefault="00203974" w:rsidP="00FD2AD4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 w:rsidRPr="0035497D">
        <w:t>a gazdaságilag inaktív vakok és/vagy gyengénlátók száma kor és nem szerinti bontásban</w:t>
      </w:r>
    </w:p>
    <w:p w:rsidR="00203974" w:rsidRPr="0035497D" w:rsidRDefault="00203974" w:rsidP="00FD2AD4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 w:rsidRPr="0035497D">
        <w:t>a munkaerőpiachoz közel levő vakok és gyengénlátók száma</w:t>
      </w:r>
    </w:p>
    <w:p w:rsidR="00203974" w:rsidRPr="0035497D" w:rsidRDefault="00203974" w:rsidP="00FD2AD4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 w:rsidRPr="0035497D">
        <w:t>a munkaerőpiactól távoli vakok és gyengénlátók száma</w:t>
      </w:r>
    </w:p>
    <w:p w:rsidR="00203974" w:rsidRPr="0035497D" w:rsidRDefault="00FD2AD4" w:rsidP="00FD2AD4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 w:rsidRPr="0035497D">
        <w:t>a gazdaságilag inaktív vakoknak és gyengénlátóknak járó szociális juttatások típusa a jövedelemkiegészítés, illetve a</w:t>
      </w:r>
      <w:r w:rsidR="00CB58A6" w:rsidRPr="0035497D">
        <w:t> </w:t>
      </w:r>
      <w:r w:rsidRPr="0035497D">
        <w:t>fogyatékosság miatt felmerülő költségek megtérítése céljából biztosított juttatások megkülönböztetésével</w:t>
      </w:r>
    </w:p>
    <w:p w:rsidR="00203974" w:rsidRPr="0035497D" w:rsidRDefault="00203974" w:rsidP="00FD2AD4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 w:rsidRPr="0035497D">
        <w:t>a fentieknek az éves átlagkereset százalékában kifejezett mértéke</w:t>
      </w:r>
    </w:p>
    <w:p w:rsidR="00203974" w:rsidRPr="0035497D" w:rsidRDefault="00203974" w:rsidP="00FD2AD4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 w:rsidRPr="0035497D">
        <w:t>a kifejezetten a vakok és a gyengénlátók számára létrehozott, általános szakmákban és különleges központokban (pl. védett gyárakban, szociális vállalkozásokban stb.) történő elhelyezésüket célzó foglalkoztatásösztönző programok</w:t>
      </w:r>
    </w:p>
    <w:p w:rsidR="00203974" w:rsidRPr="0035497D" w:rsidRDefault="00203974" w:rsidP="00FD2AD4">
      <w:pPr>
        <w:pStyle w:val="ListNumber"/>
        <w:tabs>
          <w:tab w:val="clear" w:pos="360"/>
          <w:tab w:val="num" w:pos="567"/>
        </w:tabs>
        <w:spacing w:after="240"/>
        <w:ind w:left="567" w:hanging="567"/>
      </w:pPr>
      <w:r w:rsidRPr="0035497D">
        <w:t>a vakok és a gyengénlátók alkalmazását ösztönző jogszabályok alkotása (pl. kvóták, számukra fenntartott foglalkozások)</w:t>
      </w:r>
    </w:p>
    <w:p w:rsidR="0012521C" w:rsidRPr="0035497D" w:rsidRDefault="0012521C" w:rsidP="00CB58A6">
      <w:pPr>
        <w:pStyle w:val="Heading2"/>
      </w:pPr>
      <w:r w:rsidRPr="0035497D">
        <w:t>A jelentés pontosságának biztosítása</w:t>
      </w:r>
    </w:p>
    <w:p w:rsidR="00CB58A6" w:rsidRPr="0035497D" w:rsidRDefault="0012521C" w:rsidP="00752A10">
      <w:r w:rsidRPr="0035497D">
        <w:t>Valamennyi résztvevő számára lehetőséget kell biztosítani a</w:t>
      </w:r>
      <w:r w:rsidR="00CB58A6" w:rsidRPr="0035497D">
        <w:t> </w:t>
      </w:r>
      <w:r w:rsidRPr="0035497D">
        <w:t>jelentés korrigálására és véleményezésére, illetve további bizonyítékok csatolására, ezért a jelentés tervezetét meg kell küldeni számukra.</w:t>
      </w:r>
    </w:p>
    <w:p w:rsidR="0012521C" w:rsidRPr="0035497D" w:rsidRDefault="0012521C" w:rsidP="00752A10">
      <w:r w:rsidRPr="0035497D">
        <w:t>Ez segítséget nyújt a konszenzus kialakításához, a foglalkoztatási szolgáltatásokról, valamint ezeknek a vakokra és a gyengénlátókra gyakorolt hatásáról készült beszámoló kiegyensúlyozottságának biztosításához, valamint megfelelő következtetések levonásához a</w:t>
      </w:r>
      <w:r w:rsidR="009C2194" w:rsidRPr="0035497D">
        <w:t> </w:t>
      </w:r>
      <w:r w:rsidRPr="0035497D">
        <w:t>rejtett többséggel kapcsolatban.</w:t>
      </w:r>
    </w:p>
    <w:p w:rsidR="00203974" w:rsidRPr="0035497D" w:rsidRDefault="0012521C" w:rsidP="00752A10">
      <w:r w:rsidRPr="0035497D">
        <w:rPr>
          <w:b/>
          <w:bCs/>
        </w:rPr>
        <w:t>Fontos információ:</w:t>
      </w:r>
      <w:r w:rsidRPr="0035497D">
        <w:t xml:space="preserve"> A jelentésnek tartalmaznia kell az egyeztetés után is fennálló hangsúlybeli és az </w:t>
      </w:r>
      <w:r w:rsidR="00A75D5C">
        <w:t xml:space="preserve">esetleges </w:t>
      </w:r>
      <w:r w:rsidRPr="0035497D">
        <w:t>értelmezésbeli véleménykülönbségeket.</w:t>
      </w:r>
    </w:p>
    <w:p w:rsidR="0012521C" w:rsidRPr="0035497D" w:rsidRDefault="0012521C" w:rsidP="00CB58A6">
      <w:pPr>
        <w:pStyle w:val="Heading2"/>
      </w:pPr>
      <w:r w:rsidRPr="0035497D">
        <w:lastRenderedPageBreak/>
        <w:t>A rejtett többséggel kapcsolatos saját jelentés közzététele</w:t>
      </w:r>
    </w:p>
    <w:p w:rsidR="00BA1151" w:rsidRPr="0035497D" w:rsidRDefault="00BE5C55" w:rsidP="00752A10">
      <w:r w:rsidRPr="0035497D">
        <w:t>Az EBU szívesen fogadja a tagjai által kidolgozott saját jelentéseket, különösen, ha azok az EBU és tagszervezetei által az Európai Unióban terjeszthető helyes gyakorlatokat is megfogalmaznak.</w:t>
      </w:r>
    </w:p>
    <w:p w:rsidR="00BE5C55" w:rsidRPr="0035497D" w:rsidRDefault="00BE5C55" w:rsidP="00CF45C1">
      <w:pPr>
        <w:keepNext/>
      </w:pPr>
      <w:r w:rsidRPr="0035497D">
        <w:t>Az EBU ezeket a jelentéseket a honlapján, a rejtett többségről szóló többi jelentés között teszi közzé a következő címen:</w:t>
      </w:r>
    </w:p>
    <w:p w:rsidR="00BE5C55" w:rsidRPr="0035497D" w:rsidRDefault="00AC5430" w:rsidP="00752A10">
      <w:hyperlink r:id="rId9" w:history="1">
        <w:r w:rsidR="00753F30" w:rsidRPr="0035497D">
          <w:rPr>
            <w:rStyle w:val="Hyperlink"/>
          </w:rPr>
          <w:t>http://www.euroblind.org/working-areas/rehabilitation-vocational-training-and-employment/</w:t>
        </w:r>
      </w:hyperlink>
    </w:p>
    <w:p w:rsidR="00602A42" w:rsidRPr="0035497D" w:rsidRDefault="00602A42" w:rsidP="00CB58A6">
      <w:pPr>
        <w:pStyle w:val="Heading2"/>
      </w:pPr>
      <w:r w:rsidRPr="0035497D">
        <w:t>A rejtett többséggel kapcsolatos saját jelentés felhasználása</w:t>
      </w:r>
    </w:p>
    <w:p w:rsidR="00602A42" w:rsidRPr="0035497D" w:rsidRDefault="00602A42" w:rsidP="00752A10">
      <w:r w:rsidRPr="0035497D">
        <w:t>Az EBU honlapján szereplő esettanulmányokból kiderül, hogy az egyes tagországok miként tudták befolyásolni a politikát, és megváltoztatni az addigi gyakorlatot a rejtett többségről szóló jelentésük segítéségével. Az EBU szívesen fogadja az Önök által a saját jelentésüknek köszönhetően elért eredményekkel kapcsolatos visszajelzéseket.</w:t>
      </w:r>
    </w:p>
    <w:p w:rsidR="00412614" w:rsidRPr="0035497D" w:rsidRDefault="00412614" w:rsidP="00752A10"/>
    <w:p w:rsidR="00C40514" w:rsidRDefault="00D816C6" w:rsidP="00412614">
      <w:pPr>
        <w:rPr>
          <w:i/>
        </w:rPr>
      </w:pPr>
      <w:r w:rsidRPr="0035497D">
        <w:rPr>
          <w:i/>
        </w:rPr>
        <w:t>A jelen útmutató elkészítését az Európai Bizottság által bevezetett PROGRESS közösségi foglalkoztatási és társadalmi szolidaritási program</w:t>
      </w:r>
      <w:r w:rsidR="00A732D5">
        <w:rPr>
          <w:i/>
        </w:rPr>
        <w:t xml:space="preserve"> </w:t>
      </w:r>
      <w:r w:rsidRPr="0035497D">
        <w:rPr>
          <w:i/>
        </w:rPr>
        <w:t>(2007–2013) támogatta.</w:t>
      </w:r>
    </w:p>
    <w:p w:rsidR="00CB58A6" w:rsidRPr="0035497D" w:rsidRDefault="00D816C6" w:rsidP="00412614">
      <w:pPr>
        <w:rPr>
          <w:i/>
        </w:rPr>
      </w:pPr>
      <w:r w:rsidRPr="0035497D">
        <w:rPr>
          <w:i/>
        </w:rPr>
        <w:t>A program célja, hogy pénzügyi támogatást nyújtson az Európai Unió számára a foglalkoztatás, a</w:t>
      </w:r>
      <w:r w:rsidR="009C2194" w:rsidRPr="0035497D">
        <w:rPr>
          <w:i/>
        </w:rPr>
        <w:t> </w:t>
      </w:r>
      <w:r w:rsidRPr="0035497D">
        <w:rPr>
          <w:i/>
        </w:rPr>
        <w:t>szociális ügyek és az egyenlő esélyek terén megfogalmazott célkitűzéseinek eléréséhez, és ezáltal hozzájáruljon a Europe 2020 stratégia hasonló céljainak megvalósulásához.</w:t>
      </w:r>
      <w:bookmarkStart w:id="0" w:name="_GoBack"/>
      <w:bookmarkEnd w:id="0"/>
    </w:p>
    <w:p w:rsidR="00D816C6" w:rsidRPr="0035497D" w:rsidRDefault="00D816C6" w:rsidP="00412614">
      <w:pPr>
        <w:rPr>
          <w:i/>
        </w:rPr>
      </w:pPr>
      <w:r w:rsidRPr="0035497D">
        <w:rPr>
          <w:i/>
        </w:rPr>
        <w:t>A hétéves program azon érintetteket veszi célba, akik a 27 tagú EU és az EFTA-EGT tagállamaiban, valamint az unió tagjelölt és leendő tagjelölt országaiban hozzájárulhatnak a megfelelő és hatékony foglalkoztatási és szociális jogszabályok és politikák kialakításához.</w:t>
      </w:r>
    </w:p>
    <w:p w:rsidR="00CF45C1" w:rsidRPr="0035497D" w:rsidRDefault="00D816C6" w:rsidP="00210F58">
      <w:pPr>
        <w:jc w:val="left"/>
        <w:rPr>
          <w:i/>
        </w:rPr>
      </w:pPr>
      <w:r w:rsidRPr="0035497D">
        <w:rPr>
          <w:i/>
        </w:rPr>
        <w:t>Tovább</w:t>
      </w:r>
      <w:r w:rsidR="00210F58">
        <w:rPr>
          <w:i/>
        </w:rPr>
        <w:t xml:space="preserve">i tájékoztatásért látogasson el </w:t>
      </w:r>
      <w:r w:rsidRPr="0035497D">
        <w:rPr>
          <w:i/>
        </w:rPr>
        <w:t>a</w:t>
      </w:r>
      <w:r w:rsidR="00CF45C1" w:rsidRPr="0035497D">
        <w:rPr>
          <w:i/>
        </w:rPr>
        <w:t> </w:t>
      </w:r>
      <w:hyperlink r:id="rId10" w:history="1">
        <w:r w:rsidRPr="0035497D">
          <w:rPr>
            <w:rStyle w:val="Hyperlink"/>
            <w:i/>
            <w:iCs/>
          </w:rPr>
          <w:t>http://ec.europa.eu/progress</w:t>
        </w:r>
      </w:hyperlink>
      <w:r w:rsidRPr="0035497D">
        <w:rPr>
          <w:i/>
        </w:rPr>
        <w:t xml:space="preserve"> oldalra.</w:t>
      </w:r>
    </w:p>
    <w:p w:rsidR="00BA1151" w:rsidRPr="0035497D" w:rsidRDefault="00D816C6" w:rsidP="002241AC">
      <w:pPr>
        <w:spacing w:after="0"/>
        <w:rPr>
          <w:i/>
          <w:iCs/>
        </w:rPr>
      </w:pPr>
      <w:r w:rsidRPr="0035497D">
        <w:rPr>
          <w:i/>
          <w:iCs/>
        </w:rPr>
        <w:t>A jelen kiadványban szereplő információk nem feltétlenül tükrözik az Európai Bizottság álláspontját vagy véleményét.</w:t>
      </w:r>
    </w:p>
    <w:sectPr w:rsidR="00BA1151" w:rsidRPr="0035497D" w:rsidSect="00D816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F30" w:rsidRDefault="00753F30" w:rsidP="00752A10">
      <w:r>
        <w:separator/>
      </w:r>
    </w:p>
  </w:endnote>
  <w:endnote w:type="continuationSeparator" w:id="0">
    <w:p w:rsidR="00753F30" w:rsidRDefault="00753F30" w:rsidP="00752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A6" w:rsidRDefault="00CB58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A6" w:rsidRDefault="00CB58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A6" w:rsidRDefault="00CB58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F30" w:rsidRDefault="00753F30" w:rsidP="00752A10">
      <w:r>
        <w:separator/>
      </w:r>
    </w:p>
  </w:footnote>
  <w:footnote w:type="continuationSeparator" w:id="0">
    <w:p w:rsidR="00753F30" w:rsidRDefault="00753F30" w:rsidP="00752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A6" w:rsidRDefault="00CB58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A6" w:rsidRDefault="00CB58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A6" w:rsidRDefault="00CB58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58EDB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1A690B"/>
    <w:multiLevelType w:val="hybridMultilevel"/>
    <w:tmpl w:val="7D2A4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4460B3"/>
    <w:multiLevelType w:val="multilevel"/>
    <w:tmpl w:val="7BCE331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2ED3F49"/>
    <w:multiLevelType w:val="hybridMultilevel"/>
    <w:tmpl w:val="3982B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203974"/>
    <w:rsid w:val="000A5E8F"/>
    <w:rsid w:val="0012521C"/>
    <w:rsid w:val="00140462"/>
    <w:rsid w:val="001D5EF9"/>
    <w:rsid w:val="00203974"/>
    <w:rsid w:val="00210F58"/>
    <w:rsid w:val="002241AC"/>
    <w:rsid w:val="00353796"/>
    <w:rsid w:val="0035497D"/>
    <w:rsid w:val="00412614"/>
    <w:rsid w:val="00413E04"/>
    <w:rsid w:val="0045727A"/>
    <w:rsid w:val="00544DBE"/>
    <w:rsid w:val="005C7960"/>
    <w:rsid w:val="00602A42"/>
    <w:rsid w:val="00617685"/>
    <w:rsid w:val="0066549B"/>
    <w:rsid w:val="006934E8"/>
    <w:rsid w:val="00752A10"/>
    <w:rsid w:val="00753F30"/>
    <w:rsid w:val="00873A1B"/>
    <w:rsid w:val="008B6775"/>
    <w:rsid w:val="009C2194"/>
    <w:rsid w:val="00A732D5"/>
    <w:rsid w:val="00A75D5C"/>
    <w:rsid w:val="00AC5430"/>
    <w:rsid w:val="00B120BE"/>
    <w:rsid w:val="00B513F8"/>
    <w:rsid w:val="00BA1151"/>
    <w:rsid w:val="00BE5C55"/>
    <w:rsid w:val="00C213FD"/>
    <w:rsid w:val="00C40514"/>
    <w:rsid w:val="00CB58A6"/>
    <w:rsid w:val="00CF45C1"/>
    <w:rsid w:val="00D434D2"/>
    <w:rsid w:val="00D455FF"/>
    <w:rsid w:val="00D816C6"/>
    <w:rsid w:val="00F52847"/>
    <w:rsid w:val="00FD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A10"/>
    <w:pPr>
      <w:spacing w:after="120"/>
      <w:jc w:val="both"/>
    </w:pPr>
    <w:rPr>
      <w:rFonts w:ascii="Arial" w:hAnsi="Arial" w:cs="Arial"/>
      <w:sz w:val="28"/>
      <w:szCs w:val="28"/>
      <w:lang w:val="hu-HU"/>
    </w:rPr>
  </w:style>
  <w:style w:type="paragraph" w:styleId="Heading1">
    <w:name w:val="heading 1"/>
    <w:basedOn w:val="Heading2"/>
    <w:next w:val="Normal"/>
    <w:qFormat/>
    <w:rsid w:val="00752A10"/>
    <w:pPr>
      <w:numPr>
        <w:ilvl w:val="0"/>
      </w:numPr>
      <w:spacing w:before="600" w:after="360"/>
      <w:ind w:left="357" w:hanging="357"/>
      <w:outlineLvl w:val="0"/>
    </w:pPr>
    <w:rPr>
      <w:sz w:val="36"/>
      <w:szCs w:val="36"/>
    </w:rPr>
  </w:style>
  <w:style w:type="paragraph" w:styleId="Heading2">
    <w:name w:val="heading 2"/>
    <w:basedOn w:val="Heading3"/>
    <w:next w:val="Normal"/>
    <w:qFormat/>
    <w:rsid w:val="00CB58A6"/>
    <w:pPr>
      <w:numPr>
        <w:ilvl w:val="1"/>
        <w:numId w:val="6"/>
      </w:numPr>
      <w:tabs>
        <w:tab w:val="left" w:pos="1134"/>
      </w:tabs>
      <w:spacing w:before="480" w:after="240"/>
      <w:ind w:left="1134" w:hanging="777"/>
      <w:outlineLvl w:val="1"/>
    </w:p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Title">
    <w:name w:val="Title"/>
    <w:basedOn w:val="Normal"/>
    <w:next w:val="Normal"/>
    <w:qFormat/>
    <w:rsid w:val="00752A10"/>
    <w:pPr>
      <w:keepNext/>
      <w:spacing w:before="240" w:after="60"/>
      <w:jc w:val="center"/>
      <w:outlineLvl w:val="0"/>
    </w:pPr>
    <w:rPr>
      <w:b/>
      <w:bCs/>
      <w:kern w:val="28"/>
      <w:sz w:val="40"/>
      <w:szCs w:val="40"/>
    </w:rPr>
  </w:style>
  <w:style w:type="paragraph" w:styleId="Subtitle">
    <w:name w:val="Subtitle"/>
    <w:basedOn w:val="Normal"/>
    <w:next w:val="Normal"/>
    <w:qFormat/>
    <w:rsid w:val="00F52847"/>
    <w:pPr>
      <w:keepNext/>
      <w:spacing w:before="60" w:after="60"/>
      <w:jc w:val="center"/>
    </w:pPr>
    <w:rPr>
      <w:b/>
      <w:sz w:val="40"/>
    </w:rPr>
  </w:style>
  <w:style w:type="paragraph" w:styleId="Quote">
    <w:name w:val="Quote"/>
    <w:basedOn w:val="Normal"/>
    <w:qFormat/>
    <w:rsid w:val="00617685"/>
    <w:pPr>
      <w:ind w:left="794" w:right="794"/>
    </w:pPr>
  </w:style>
  <w:style w:type="paragraph" w:styleId="Caption">
    <w:name w:val="caption"/>
    <w:basedOn w:val="Normal"/>
    <w:next w:val="Normal"/>
    <w:qFormat/>
    <w:rsid w:val="00F52847"/>
    <w:rPr>
      <w:b/>
      <w:bCs/>
      <w:sz w:val="20"/>
    </w:rPr>
  </w:style>
  <w:style w:type="paragraph" w:styleId="ListBullet">
    <w:name w:val="List Bullet"/>
    <w:basedOn w:val="Normal"/>
    <w:rsid w:val="00CF45C1"/>
    <w:pPr>
      <w:numPr>
        <w:numId w:val="1"/>
      </w:numPr>
      <w:tabs>
        <w:tab w:val="left" w:pos="567"/>
      </w:tabs>
      <w:ind w:left="357" w:hanging="357"/>
      <w:contextualSpacing/>
    </w:pPr>
  </w:style>
  <w:style w:type="paragraph" w:styleId="ListNumber">
    <w:name w:val="List Number"/>
    <w:basedOn w:val="Normal"/>
    <w:link w:val="ListNumberChar"/>
    <w:rsid w:val="00617685"/>
    <w:pPr>
      <w:numPr>
        <w:numId w:val="2"/>
      </w:numPr>
      <w:tabs>
        <w:tab w:val="left" w:pos="851"/>
      </w:tabs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customStyle="1" w:styleId="Style2">
    <w:name w:val="Style2"/>
    <w:basedOn w:val="Normal"/>
    <w:rsid w:val="006934E8"/>
    <w:rPr>
      <w:b/>
      <w:sz w:val="32"/>
    </w:rPr>
  </w:style>
  <w:style w:type="paragraph" w:customStyle="1" w:styleId="Heading11">
    <w:name w:val="Heading 11"/>
    <w:basedOn w:val="Normal"/>
    <w:autoRedefine/>
    <w:rsid w:val="006934E8"/>
    <w:rPr>
      <w:b/>
      <w:sz w:val="32"/>
    </w:rPr>
  </w:style>
  <w:style w:type="character" w:customStyle="1" w:styleId="ListNumberChar">
    <w:name w:val="List Number Char"/>
    <w:basedOn w:val="DefaultParagraphFont"/>
    <w:link w:val="ListNumber"/>
    <w:rsid w:val="00203974"/>
    <w:rPr>
      <w:rFonts w:ascii="Arial" w:hAnsi="Arial" w:cs="Arial"/>
      <w:sz w:val="28"/>
      <w:szCs w:val="28"/>
      <w:lang w:val="hu-HU"/>
    </w:rPr>
  </w:style>
  <w:style w:type="paragraph" w:styleId="Header">
    <w:name w:val="header"/>
    <w:basedOn w:val="Normal"/>
    <w:link w:val="HeaderChar"/>
    <w:uiPriority w:val="99"/>
    <w:rsid w:val="002039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974"/>
    <w:rPr>
      <w:rFonts w:ascii="Arial" w:hAnsi="Arial" w:cs="Arial"/>
      <w:sz w:val="28"/>
      <w:szCs w:val="28"/>
      <w:lang w:val="hu-HU"/>
    </w:rPr>
  </w:style>
  <w:style w:type="paragraph" w:styleId="Footer">
    <w:name w:val="footer"/>
    <w:basedOn w:val="Normal"/>
    <w:link w:val="FooterChar"/>
    <w:rsid w:val="002039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03974"/>
    <w:rPr>
      <w:rFonts w:ascii="Arial" w:hAnsi="Arial" w:cs="Arial"/>
      <w:sz w:val="28"/>
      <w:szCs w:val="28"/>
      <w:lang w:val="hu-HU"/>
    </w:rPr>
  </w:style>
  <w:style w:type="paragraph" w:styleId="BalloonText">
    <w:name w:val="Balloon Text"/>
    <w:basedOn w:val="Normal"/>
    <w:link w:val="BalloonTextChar"/>
    <w:rsid w:val="00140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462"/>
    <w:rPr>
      <w:rFonts w:ascii="Tahoma" w:hAnsi="Tahoma" w:cs="Tahoma"/>
      <w:sz w:val="16"/>
      <w:szCs w:val="16"/>
      <w:lang w:val="hu-HU"/>
    </w:rPr>
  </w:style>
  <w:style w:type="paragraph" w:styleId="ListParagraph">
    <w:name w:val="List Paragraph"/>
    <w:basedOn w:val="Normal"/>
    <w:uiPriority w:val="34"/>
    <w:qFormat/>
    <w:rsid w:val="00BA1151"/>
    <w:pPr>
      <w:ind w:left="720"/>
      <w:contextualSpacing/>
    </w:pPr>
  </w:style>
  <w:style w:type="character" w:styleId="Hyperlink">
    <w:name w:val="Hyperlink"/>
    <w:basedOn w:val="DefaultParagraphFont"/>
    <w:rsid w:val="005C7960"/>
    <w:rPr>
      <w:color w:val="0000FF" w:themeColor="hyperlink"/>
      <w:u w:val="single"/>
      <w:lang w:val="hu-HU"/>
    </w:rPr>
  </w:style>
  <w:style w:type="paragraph" w:styleId="BodyText">
    <w:name w:val="Body Text"/>
    <w:basedOn w:val="Normal"/>
    <w:link w:val="BodyTextChar"/>
    <w:rsid w:val="00CB58A6"/>
  </w:style>
  <w:style w:type="character" w:customStyle="1" w:styleId="BodyTextChar">
    <w:name w:val="Body Text Char"/>
    <w:basedOn w:val="DefaultParagraphFont"/>
    <w:link w:val="BodyText"/>
    <w:rsid w:val="00CB58A6"/>
    <w:rPr>
      <w:rFonts w:ascii="Arial" w:hAnsi="Arial" w:cs="Arial"/>
      <w:sz w:val="28"/>
      <w:szCs w:val="28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ec.europa.eu/progress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euroblind.org/working-areas/rehabilitation-vocational-training-and-employmen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778</Words>
  <Characters>5617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RNIB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PSimkiss</dc:creator>
  <cp:lastModifiedBy>ETLS</cp:lastModifiedBy>
  <cp:revision>2</cp:revision>
  <dcterms:created xsi:type="dcterms:W3CDTF">2013-11-21T20:49:00Z</dcterms:created>
  <dcterms:modified xsi:type="dcterms:W3CDTF">2013-11-21T20:49:00Z</dcterms:modified>
</cp:coreProperties>
</file>