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6A30" w14:textId="7EDA3C56"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7118615C" wp14:editId="4521CE14">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0546B"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13C28FFD" wp14:editId="2A1A9050">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5A0792AC" w14:textId="1549A3E9" w:rsidR="00293070" w:rsidRPr="00197912" w:rsidRDefault="007A0D60"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581F17C4" wp14:editId="29E12535">
                <wp:simplePos x="0" y="0"/>
                <wp:positionH relativeFrom="margin">
                  <wp:align>center</wp:align>
                </wp:positionH>
                <wp:positionV relativeFrom="paragraph">
                  <wp:posOffset>188595</wp:posOffset>
                </wp:positionV>
                <wp:extent cx="6867525" cy="19716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19716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FEA3E" id="Rechteck 10" o:spid="_x0000_s1026" style="position:absolute;margin-left:0;margin-top:14.85pt;width:540.75pt;height:155.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" fillcolor="white [3201]" strokecolor="#003d82" strokeweight="2.25pt">
                <w10:wrap anchorx="margin"/>
              </v:rect>
            </w:pict>
          </mc:Fallback>
        </mc:AlternateContent>
      </w:r>
    </w:p>
    <w:p w14:paraId="435358C9" w14:textId="32F8CEED" w:rsidR="002D62A5" w:rsidRPr="002D62A5" w:rsidRDefault="007C0C44" w:rsidP="00802197">
      <w:pPr>
        <w:pStyle w:val="Titre"/>
      </w:pPr>
      <w:r w:rsidRPr="004974B7">
        <w:t xml:space="preserve">European Blind Union response to </w:t>
      </w:r>
      <w:r w:rsidR="00A577C1">
        <w:t xml:space="preserve">the European Commission’s </w:t>
      </w:r>
      <w:r w:rsidR="002D6F0D">
        <w:t xml:space="preserve">public consultation on </w:t>
      </w:r>
      <w:r w:rsidR="007A0D60">
        <w:t>technical specifications for automated vehicles</w:t>
      </w:r>
    </w:p>
    <w:p w14:paraId="67D6ACBF" w14:textId="77777777" w:rsidR="00197912" w:rsidRPr="00197912" w:rsidRDefault="00197912" w:rsidP="00D543AE">
      <w:pPr>
        <w:rPr>
          <w:sz w:val="40"/>
          <w:lang w:val="en-GB"/>
        </w:rPr>
      </w:pPr>
    </w:p>
    <w:p w14:paraId="7BF5A919" w14:textId="7507A8E3" w:rsidR="008446F0" w:rsidRPr="00CF3E29" w:rsidRDefault="00197912" w:rsidP="00CF3E29">
      <w:pPr>
        <w:jc w:val="center"/>
      </w:pPr>
      <w:r>
        <w:t xml:space="preserve">EBU Position Paper | </w:t>
      </w:r>
      <w:r w:rsidR="00C76ED2">
        <w:t>Ma</w:t>
      </w:r>
      <w:r w:rsidR="007A0D60">
        <w:t>y</w:t>
      </w:r>
      <w:r w:rsidR="006B380F">
        <w:t xml:space="preserve"> 202</w:t>
      </w:r>
      <w:r w:rsidR="00C76ED2">
        <w:t>2</w:t>
      </w:r>
    </w:p>
    <w:p w14:paraId="7C352E01" w14:textId="77777777" w:rsidR="00982C6A" w:rsidRPr="001E4A81" w:rsidRDefault="00982C6A" w:rsidP="00F61067">
      <w:pPr>
        <w:jc w:val="center"/>
        <w:rPr>
          <w:sz w:val="40"/>
          <w:szCs w:val="36"/>
          <w:lang w:val="en-GB"/>
        </w:rPr>
      </w:pPr>
    </w:p>
    <w:p w14:paraId="345EDF94" w14:textId="6005A5F9" w:rsidR="0061773D" w:rsidRDefault="002F3E52" w:rsidP="00805C3A">
      <w:pPr>
        <w:pStyle w:val="Sous-titre"/>
      </w:pPr>
      <w:r>
        <w:t>Aim</w:t>
      </w:r>
      <w:r w:rsidR="00377361" w:rsidRPr="004974B7">
        <w:t xml:space="preserve"> of the consultation</w:t>
      </w:r>
    </w:p>
    <w:p w14:paraId="62BB06A7" w14:textId="0FB5EC17" w:rsidR="00802197" w:rsidRPr="00C907D2" w:rsidRDefault="00802197" w:rsidP="00CF3E29">
      <w:pPr>
        <w:spacing w:line="259" w:lineRule="auto"/>
        <w:rPr>
          <w:rStyle w:val="Accentuationlgre"/>
          <w:rFonts w:ascii="Calibri" w:eastAsia="Calibri" w:hAnsi="Calibri"/>
          <w:color w:val="auto"/>
          <w:sz w:val="22"/>
          <w:szCs w:val="22"/>
          <w:lang w:val="en-US"/>
        </w:rPr>
      </w:pPr>
    </w:p>
    <w:p w14:paraId="47FDF2A0" w14:textId="5E8687E3" w:rsidR="00C76ED2" w:rsidRDefault="001F0060" w:rsidP="00782248">
      <w:pPr>
        <w:rPr>
          <w:lang w:val="en-GB"/>
        </w:rPr>
      </w:pPr>
      <w:r>
        <w:rPr>
          <w:lang w:val="en-GB"/>
        </w:rPr>
        <w:t>The European Commission indicates: “</w:t>
      </w:r>
      <w:r w:rsidRPr="001F0060">
        <w:rPr>
          <w:lang w:val="en-GB"/>
        </w:rPr>
        <w:t>From mid-2022, new EU rules will apply (Regulation 2019/2144) governing modern technologies used in vehicles, to improve road safety and reduce pollution.</w:t>
      </w:r>
      <w:r>
        <w:rPr>
          <w:lang w:val="en-GB"/>
        </w:rPr>
        <w:t xml:space="preserve"> </w:t>
      </w:r>
      <w:r w:rsidRPr="001F0060">
        <w:rPr>
          <w:lang w:val="en-GB"/>
        </w:rPr>
        <w:t>This initiative introduces specific requirements for automated and fully automated (‘driverless’) vehicles and the systems they employ, to ensure that they are safe to use.</w:t>
      </w:r>
      <w:r w:rsidR="00782248">
        <w:rPr>
          <w:lang w:val="en-GB"/>
        </w:rPr>
        <w:t xml:space="preserve"> (…) The Commission would like to hear your views.</w:t>
      </w:r>
      <w:r>
        <w:rPr>
          <w:lang w:val="en-GB"/>
        </w:rPr>
        <w:t>”</w:t>
      </w:r>
    </w:p>
    <w:p w14:paraId="02C5BE0D" w14:textId="77777777" w:rsidR="002D6F0D" w:rsidRDefault="002D6F0D" w:rsidP="002D6F0D">
      <w:pPr>
        <w:rPr>
          <w:lang w:val="en-GB"/>
        </w:rPr>
      </w:pPr>
    </w:p>
    <w:p w14:paraId="0FF19BF6" w14:textId="0BCF4483" w:rsidR="00B501D1" w:rsidRPr="00377361" w:rsidRDefault="00C76ED2" w:rsidP="00802197">
      <w:pPr>
        <w:pStyle w:val="Sous-titre"/>
      </w:pPr>
      <w:r>
        <w:t>Response</w:t>
      </w:r>
    </w:p>
    <w:p w14:paraId="0660590F" w14:textId="77777777" w:rsidR="00C76ED2" w:rsidRDefault="00C76ED2" w:rsidP="00C76ED2">
      <w:pPr>
        <w:rPr>
          <w:lang w:val="en-GB"/>
        </w:rPr>
      </w:pPr>
    </w:p>
    <w:p w14:paraId="3A0E3689" w14:textId="5EA93554" w:rsidR="007A0D60" w:rsidRPr="007A0D60" w:rsidRDefault="007A0D60" w:rsidP="006A174C">
      <w:pPr>
        <w:spacing w:after="240"/>
        <w:rPr>
          <w:lang w:val="en-GB"/>
        </w:rPr>
      </w:pPr>
      <w:r w:rsidRPr="007A0D60">
        <w:rPr>
          <w:lang w:val="en-GB"/>
        </w:rPr>
        <w:t xml:space="preserve">There is no mention of </w:t>
      </w:r>
      <w:r w:rsidRPr="007A0D60">
        <w:rPr>
          <w:rStyle w:val="Accentuation"/>
        </w:rPr>
        <w:t>vulnerable road users</w:t>
      </w:r>
      <w:r w:rsidRPr="007A0D60">
        <w:rPr>
          <w:lang w:val="en-GB"/>
        </w:rPr>
        <w:t xml:space="preserve"> in the draft implementing regulation of Regulation 2019/2144 nor in the annex thereto. Vulnerable road users are mentioned in Appendix 1 to Part 1 of Annex 3—Principles to be followed to derive scenarios relevant for the ODD of the ADS 1—article 2.1.1 (“ODD analysis”), where it is said: “An ODD [operational design domain, author’s note] may consist of scenery elements (e.g., physical infrastructure), environmental conditions, dynamic elements (e.g., traffic, vulnerable road users).”</w:t>
      </w:r>
    </w:p>
    <w:p w14:paraId="0DE60ECC" w14:textId="77777777" w:rsidR="007A0D60" w:rsidRPr="007A0D60" w:rsidRDefault="007A0D60" w:rsidP="006A174C">
      <w:pPr>
        <w:spacing w:after="240"/>
        <w:rPr>
          <w:lang w:val="en-GB"/>
        </w:rPr>
      </w:pPr>
      <w:r w:rsidRPr="007A0D60">
        <w:rPr>
          <w:lang w:val="en-GB"/>
        </w:rPr>
        <w:t>The "may” is ambiguous here and we would like to point out the following:</w:t>
      </w:r>
    </w:p>
    <w:p w14:paraId="44669B3C" w14:textId="77777777" w:rsidR="007A0D60" w:rsidRDefault="007A0D60" w:rsidP="006A174C">
      <w:pPr>
        <w:spacing w:after="240"/>
        <w:rPr>
          <w:lang w:val="en-GB"/>
        </w:rPr>
      </w:pPr>
    </w:p>
    <w:p w14:paraId="4CA64E3C" w14:textId="1C6FCB48" w:rsidR="007A0D60" w:rsidRDefault="007A0D60" w:rsidP="006A174C">
      <w:pPr>
        <w:spacing w:after="240"/>
        <w:rPr>
          <w:lang w:val="en-GB"/>
        </w:rPr>
      </w:pPr>
      <w:r w:rsidRPr="007A0D60">
        <w:rPr>
          <w:lang w:val="en-GB"/>
        </w:rPr>
        <w:lastRenderedPageBreak/>
        <w:t xml:space="preserve">As driverless vehicles are likely to progressively become more frequent in the streets and roads of Europe, they are expected to obey the same principles as conventional cars. </w:t>
      </w:r>
      <w:r w:rsidRPr="007A0D60">
        <w:rPr>
          <w:rStyle w:val="Accentuation"/>
        </w:rPr>
        <w:t>Like drivers</w:t>
      </w:r>
      <w:r w:rsidRPr="007A0D60">
        <w:rPr>
          <w:lang w:val="en-GB"/>
        </w:rPr>
        <w:t xml:space="preserve">, they should be able to adapt to weaker participants in the traffic, especially to consider the presence of pedestrians with a visual impairment. </w:t>
      </w:r>
    </w:p>
    <w:p w14:paraId="5B3294D7" w14:textId="07D654FD" w:rsidR="007A0D60" w:rsidRDefault="007A0D60" w:rsidP="006A174C">
      <w:pPr>
        <w:spacing w:after="240"/>
        <w:rPr>
          <w:lang w:val="en-GB"/>
        </w:rPr>
      </w:pPr>
      <w:r w:rsidRPr="007A0D60">
        <w:rPr>
          <w:lang w:val="en-GB"/>
        </w:rPr>
        <w:t xml:space="preserve">Drivers are required to </w:t>
      </w:r>
      <w:r w:rsidRPr="007A0D60">
        <w:rPr>
          <w:rStyle w:val="Accentuation"/>
        </w:rPr>
        <w:t>understand the white cane</w:t>
      </w:r>
      <w:r w:rsidRPr="007A0D60">
        <w:rPr>
          <w:lang w:val="en-GB"/>
        </w:rPr>
        <w:t xml:space="preserve"> as a symbol and an automated vehicle should therefore do so as well. Consequently, to be allowed to use public streets, a driverless vehicle must be able to recognize the white cane, just like any traffic sign. This should be laid down explicitly in the technical regulations on connected and autonomous cars (CAV). </w:t>
      </w:r>
    </w:p>
    <w:p w14:paraId="085B5EBD" w14:textId="44871A7E" w:rsidR="007A0D60" w:rsidRDefault="007A0D60" w:rsidP="006A174C">
      <w:pPr>
        <w:spacing w:after="240"/>
        <w:rPr>
          <w:lang w:val="en-GB"/>
        </w:rPr>
      </w:pPr>
      <w:r w:rsidRPr="007A0D60">
        <w:rPr>
          <w:rStyle w:val="Accentuation"/>
        </w:rPr>
        <w:t>All types of white canes and other possible visible signs</w:t>
      </w:r>
      <w:r w:rsidRPr="007A0D60">
        <w:rPr>
          <w:lang w:val="en-GB"/>
        </w:rPr>
        <w:t xml:space="preserve"> of a person with visual impairment, under the applicable legislation, should be recognized as well. It should not matter that a visually impaired pedestrian is simply holding their cane or raising or waving it, even if the latter facilitates identification.</w:t>
      </w:r>
    </w:p>
    <w:p w14:paraId="3498BC8E" w14:textId="0E10308A" w:rsidR="007A0D60" w:rsidRDefault="007A0D60" w:rsidP="006A174C">
      <w:pPr>
        <w:spacing w:after="240"/>
        <w:rPr>
          <w:lang w:val="en-GB"/>
        </w:rPr>
      </w:pPr>
      <w:r w:rsidRPr="007A0D60">
        <w:rPr>
          <w:lang w:val="en-GB"/>
        </w:rPr>
        <w:t xml:space="preserve">It should also be possible to detect the white cane </w:t>
      </w:r>
      <w:r w:rsidRPr="007A0D60">
        <w:rPr>
          <w:rStyle w:val="Accentuation"/>
        </w:rPr>
        <w:t>even when it is partially hidden</w:t>
      </w:r>
      <w:r w:rsidRPr="007A0D60">
        <w:rPr>
          <w:lang w:val="en-GB"/>
        </w:rPr>
        <w:t xml:space="preserve"> behind some person or object. Since a driverless vehicle is connected, it should be able to communicate with other vehicles—driverless or equipped with the necessary IT—to share information about the presence of a visually impaired person in the area. </w:t>
      </w:r>
    </w:p>
    <w:p w14:paraId="56C546F0" w14:textId="1E22CCAA" w:rsidR="007A0D60" w:rsidRDefault="007A0D60" w:rsidP="006A174C">
      <w:pPr>
        <w:spacing w:after="240"/>
        <w:rPr>
          <w:lang w:val="en-GB"/>
        </w:rPr>
      </w:pPr>
      <w:r w:rsidRPr="007A0D60">
        <w:rPr>
          <w:lang w:val="en-GB"/>
        </w:rPr>
        <w:t xml:space="preserve">Recognition through a digital signal conveyed for instance by a smartphone or a microchip, if applicable, could also be used, but </w:t>
      </w:r>
      <w:r w:rsidRPr="007A0D60">
        <w:rPr>
          <w:rStyle w:val="Accentuation"/>
        </w:rPr>
        <w:t>only as a complement</w:t>
      </w:r>
      <w:r w:rsidRPr="007A0D60">
        <w:rPr>
          <w:lang w:val="en-GB"/>
        </w:rPr>
        <w:t xml:space="preserve">. </w:t>
      </w:r>
    </w:p>
    <w:p w14:paraId="3AFFDA1A" w14:textId="381267E1" w:rsidR="007A0D60" w:rsidRDefault="007A0D60" w:rsidP="006A174C">
      <w:pPr>
        <w:spacing w:after="240"/>
        <w:rPr>
          <w:lang w:val="en-GB"/>
        </w:rPr>
      </w:pPr>
      <w:r w:rsidRPr="007A0D60">
        <w:rPr>
          <w:rStyle w:val="Accentuation"/>
        </w:rPr>
        <w:t>Also as a complementary feature</w:t>
      </w:r>
      <w:r w:rsidRPr="007A0D60">
        <w:rPr>
          <w:lang w:val="en-GB"/>
        </w:rPr>
        <w:t>, the driverless vehicle being electric and therefore equipped with Acoustic vehicle alert system (AVAS), the sound level of AVAS could be raised when the presence of a pedestrian with visual impairment is detected, to alert that person (although this would require careful testing to make sure the result is not a source of confusion about the speed and distance of the vehicle).</w:t>
      </w:r>
    </w:p>
    <w:p w14:paraId="42F8E995" w14:textId="693F4325" w:rsidR="0061773D" w:rsidRDefault="007A0D60" w:rsidP="007A0D60">
      <w:pPr>
        <w:rPr>
          <w:lang w:val="en-GB"/>
        </w:rPr>
      </w:pPr>
      <w:r w:rsidRPr="007A0D60">
        <w:rPr>
          <w:lang w:val="en-GB"/>
        </w:rPr>
        <w:t xml:space="preserve">In any case, it is a matter of principle that it should be </w:t>
      </w:r>
      <w:r w:rsidRPr="00D42F44">
        <w:rPr>
          <w:rStyle w:val="Accentuation"/>
        </w:rPr>
        <w:t>driverless vehicles to adapt by design to road users, specially to vulnerable pedestrians, and not the contrary</w:t>
      </w:r>
      <w:r w:rsidRPr="007A0D60">
        <w:rPr>
          <w:lang w:val="en-GB"/>
        </w:rPr>
        <w:t>. The technique of driverless vehicles may not interfere with the fundamental rights of safety and independent personal mobility guaranteed by articles 14 and 20 of the UN Convention on the Rights of Persons with Disabilities and articles 6 and 26 of the Charter of Fundamental Rights of the EU. It should on the contrary lead to increased protection of these rights.</w:t>
      </w:r>
    </w:p>
    <w:p w14:paraId="6404CB21" w14:textId="77777777" w:rsidR="009D7F77" w:rsidRPr="006C4F92" w:rsidRDefault="009D7F77" w:rsidP="009D7F77">
      <w:pPr>
        <w:rPr>
          <w:lang w:val="en-GB"/>
        </w:rPr>
      </w:pPr>
    </w:p>
    <w:p w14:paraId="33F6D86F" w14:textId="77777777" w:rsidR="007C528B" w:rsidRPr="00377361" w:rsidRDefault="006C4F92" w:rsidP="00802197">
      <w:pPr>
        <w:pStyle w:val="Sous-titre"/>
      </w:pPr>
      <w:r w:rsidRPr="00377361">
        <w:t>A</w:t>
      </w:r>
      <w:r w:rsidR="00377361" w:rsidRPr="00377361">
        <w:t>bout EBU</w:t>
      </w:r>
    </w:p>
    <w:p w14:paraId="1FD9DCDD" w14:textId="68721E21"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w:t>
      </w:r>
      <w:r w:rsidRPr="0063050D">
        <w:rPr>
          <w:lang w:val="en-GB"/>
        </w:rPr>
        <w:t>41</w:t>
      </w:r>
      <w:r w:rsidRPr="006C4F92">
        <w:rPr>
          <w:lang w:val="en-GB"/>
        </w:rPr>
        <w:t xml:space="preserve"> national members including organisations from 2</w:t>
      </w:r>
      <w:r w:rsidR="009937DB">
        <w:rPr>
          <w:lang w:val="en-GB"/>
        </w:rPr>
        <w:t>5</w:t>
      </w:r>
      <w:r w:rsidRPr="006C4F92">
        <w:rPr>
          <w:lang w:val="en-GB"/>
        </w:rPr>
        <w:t xml:space="preserve"> European Union member states, candidate countries and other countries in geographical Europe.</w:t>
      </w:r>
    </w:p>
    <w:p w14:paraId="03FAC927" w14:textId="77777777" w:rsidR="006C4F92" w:rsidRPr="006C4F92" w:rsidRDefault="006C4F92" w:rsidP="006C4F92">
      <w:pPr>
        <w:rPr>
          <w:lang w:val="en-GB"/>
        </w:rPr>
      </w:pPr>
    </w:p>
    <w:p w14:paraId="47039FDB" w14:textId="77777777"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0BCC1556" wp14:editId="2F5B2D28">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C1556"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" fillcolor="white [3201]" strokecolor="#003d82" strokeweight="2.25pt">
                <v:textbox>
                  <w:txbxContent>
                    <w:p w14:paraId="4275472A" w14:textId="77777777" w:rsidR="006C4F92" w:rsidRPr="004974B7" w:rsidRDefault="006C4F92" w:rsidP="001171D5">
                      <w:pPr>
                        <w:jc w:val="center"/>
                        <w:rPr>
                          <w:rStyle w:val="Accentuation"/>
                        </w:rPr>
                      </w:pPr>
                      <w:r w:rsidRPr="004974B7">
                        <w:rPr>
                          <w:rStyle w:val="Accentuation"/>
                        </w:rPr>
                        <w:t>European Blind Union</w:t>
                      </w:r>
                    </w:p>
                    <w:p w14:paraId="2837F5DE" w14:textId="77777777"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05E016CD" w14:textId="752F7C1B" w:rsidR="00B501D1" w:rsidRPr="00017D4A" w:rsidRDefault="006C4F92" w:rsidP="00B501D1">
                      <w:pPr>
                        <w:jc w:val="center"/>
                        <w:rPr>
                          <w:color w:val="003D82"/>
                          <w:lang w:val="en-GB"/>
                        </w:rPr>
                      </w:pPr>
                      <w:r w:rsidRPr="00017D4A">
                        <w:rPr>
                          <w:color w:val="003D82"/>
                          <w:lang w:val="en-GB"/>
                        </w:rPr>
                        <w:t xml:space="preserve">+33 1 </w:t>
                      </w:r>
                      <w:r w:rsidR="00C4619E">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00D75F17" w14:textId="77777777" w:rsidR="001171D5" w:rsidRDefault="001171D5" w:rsidP="00B501D1">
                      <w:pPr>
                        <w:jc w:val="center"/>
                        <w:rPr>
                          <w:b/>
                          <w:color w:val="003D82"/>
                          <w:lang w:val="en-GB"/>
                        </w:rPr>
                      </w:pPr>
                    </w:p>
                    <w:p w14:paraId="616793B3" w14:textId="479EAAE0"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C4619E">
                        <w:rPr>
                          <w:color w:val="003D82"/>
                          <w:lang w:val="en-GB"/>
                        </w:rPr>
                        <w:t>Antoine Fobe</w:t>
                      </w:r>
                      <w:r w:rsidRPr="00017D4A">
                        <w:rPr>
                          <w:color w:val="003D82"/>
                          <w:lang w:val="en-GB"/>
                        </w:rPr>
                        <w:t xml:space="preserve">, </w:t>
                      </w:r>
                      <w:r w:rsidR="00C4619E">
                        <w:rPr>
                          <w:color w:val="003D82"/>
                          <w:lang w:val="en-GB"/>
                        </w:rPr>
                        <w:t>Head of Advocacy &amp; Campaigning</w:t>
                      </w:r>
                    </w:p>
                    <w:p w14:paraId="5D9A2985" w14:textId="08F9A209" w:rsidR="001171D5" w:rsidRPr="00017D4A" w:rsidRDefault="001171D5" w:rsidP="001171D5">
                      <w:pPr>
                        <w:jc w:val="center"/>
                        <w:rPr>
                          <w:color w:val="003D82"/>
                          <w:lang w:val="en-GB"/>
                        </w:rPr>
                      </w:pPr>
                      <w:r w:rsidRPr="00017D4A">
                        <w:rPr>
                          <w:color w:val="003D82"/>
                          <w:lang w:val="en-GB"/>
                        </w:rPr>
                        <w:t xml:space="preserve"> </w:t>
                      </w:r>
                      <w:r w:rsidR="00C4619E">
                        <w:rPr>
                          <w:color w:val="003D82"/>
                          <w:lang w:val="en-GB"/>
                        </w:rPr>
                        <w:t>ebucampaigning</w:t>
                      </w:r>
                      <w:r w:rsidR="006C4F92" w:rsidRPr="00017D4A">
                        <w:rPr>
                          <w:color w:val="003D82"/>
                          <w:lang w:val="en-GB"/>
                        </w:rPr>
                        <w:t>@euroblind.org |</w:t>
                      </w:r>
                      <w:r w:rsidRPr="00017D4A">
                        <w:rPr>
                          <w:color w:val="003D82"/>
                          <w:lang w:val="en-GB"/>
                        </w:rPr>
                        <w:t xml:space="preserve"> +33 1 </w:t>
                      </w:r>
                      <w:r w:rsidR="00C4619E">
                        <w:rPr>
                          <w:color w:val="003D82"/>
                          <w:lang w:val="en-GB"/>
                        </w:rPr>
                        <w:t>88 61 06 64</w:t>
                      </w:r>
                    </w:p>
                    <w:p w14:paraId="7E37C368" w14:textId="77777777"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996A" w14:textId="77777777" w:rsidR="00030258" w:rsidRDefault="00030258" w:rsidP="00D17D8A">
      <w:r>
        <w:separator/>
      </w:r>
    </w:p>
  </w:endnote>
  <w:endnote w:type="continuationSeparator" w:id="0">
    <w:p w14:paraId="538A70CB" w14:textId="77777777" w:rsidR="00030258" w:rsidRDefault="00030258"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5BD9" w14:textId="77777777" w:rsidR="00030258" w:rsidRDefault="00030258" w:rsidP="00D17D8A">
      <w:r>
        <w:separator/>
      </w:r>
    </w:p>
  </w:footnote>
  <w:footnote w:type="continuationSeparator" w:id="0">
    <w:p w14:paraId="56348522" w14:textId="77777777" w:rsidR="00030258" w:rsidRDefault="00030258"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5D962A7C" w14:textId="0AE90B88"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4974B7" w:rsidRPr="004974B7">
          <w:rPr>
            <w:noProof/>
            <w:color w:val="FFFFFF" w:themeColor="background1"/>
            <w:sz w:val="24"/>
            <w:szCs w:val="24"/>
            <w:highlight w:val="darkBlue"/>
            <w:lang w:val="de-DE"/>
          </w:rPr>
          <w:t>3</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6B380F">
          <w:rPr>
            <w:sz w:val="24"/>
            <w:szCs w:val="24"/>
          </w:rPr>
          <w:t>–</w:t>
        </w:r>
        <w:r w:rsidR="00BE6F10">
          <w:rPr>
            <w:sz w:val="24"/>
            <w:szCs w:val="24"/>
          </w:rPr>
          <w:t xml:space="preserve"> </w:t>
        </w:r>
        <w:r w:rsidR="008B77F4">
          <w:rPr>
            <w:sz w:val="24"/>
            <w:szCs w:val="24"/>
          </w:rPr>
          <w:t>Ma</w:t>
        </w:r>
        <w:r w:rsidR="007A0D60">
          <w:rPr>
            <w:sz w:val="24"/>
            <w:szCs w:val="24"/>
          </w:rPr>
          <w:t>y</w:t>
        </w:r>
        <w:r w:rsidR="006B380F">
          <w:rPr>
            <w:sz w:val="24"/>
            <w:szCs w:val="24"/>
          </w:rPr>
          <w:t xml:space="preserve"> 202</w:t>
        </w:r>
        <w:r w:rsidR="008B77F4">
          <w:rPr>
            <w:sz w:val="24"/>
            <w:szCs w:val="24"/>
          </w:rPr>
          <w:t>2</w:t>
        </w:r>
      </w:p>
      <w:p w14:paraId="64E8C770" w14:textId="77777777" w:rsidR="00106853" w:rsidRPr="00106853" w:rsidRDefault="00106853">
        <w:pPr>
          <w:pStyle w:val="En-tte"/>
          <w:rPr>
            <w:sz w:val="24"/>
            <w:szCs w:val="24"/>
          </w:rPr>
        </w:pPr>
      </w:p>
      <w:p w14:paraId="5137FF35" w14:textId="77777777"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12423"/>
    <w:multiLevelType w:val="hybridMultilevel"/>
    <w:tmpl w:val="34F0443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0CB3"/>
    <w:multiLevelType w:val="hybridMultilevel"/>
    <w:tmpl w:val="D34819D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37DC7"/>
    <w:multiLevelType w:val="hybridMultilevel"/>
    <w:tmpl w:val="FB14BCCA"/>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032389"/>
    <w:multiLevelType w:val="hybridMultilevel"/>
    <w:tmpl w:val="FBD6C3C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72A65"/>
    <w:multiLevelType w:val="hybridMultilevel"/>
    <w:tmpl w:val="33F222DC"/>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C22871"/>
    <w:multiLevelType w:val="hybridMultilevel"/>
    <w:tmpl w:val="6B341B2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6540A2"/>
    <w:multiLevelType w:val="hybridMultilevel"/>
    <w:tmpl w:val="8EE42F20"/>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820314"/>
    <w:multiLevelType w:val="hybridMultilevel"/>
    <w:tmpl w:val="883E1CE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4C7187"/>
    <w:multiLevelType w:val="hybridMultilevel"/>
    <w:tmpl w:val="10BA224C"/>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5673B"/>
    <w:multiLevelType w:val="hybridMultilevel"/>
    <w:tmpl w:val="2840857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149FC"/>
    <w:multiLevelType w:val="hybridMultilevel"/>
    <w:tmpl w:val="07B62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000FB3"/>
    <w:multiLevelType w:val="hybridMultilevel"/>
    <w:tmpl w:val="D7EE845A"/>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2001E"/>
    <w:multiLevelType w:val="hybridMultilevel"/>
    <w:tmpl w:val="6A4C4ECE"/>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043D00"/>
    <w:multiLevelType w:val="hybridMultilevel"/>
    <w:tmpl w:val="C542E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B971CB"/>
    <w:multiLevelType w:val="hybridMultilevel"/>
    <w:tmpl w:val="B20E629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A3207C"/>
    <w:multiLevelType w:val="hybridMultilevel"/>
    <w:tmpl w:val="E800F9D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935167"/>
    <w:multiLevelType w:val="hybridMultilevel"/>
    <w:tmpl w:val="3916857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2F0FE5"/>
    <w:multiLevelType w:val="hybridMultilevel"/>
    <w:tmpl w:val="F0EC4A04"/>
    <w:lvl w:ilvl="0" w:tplc="A8568BD6">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B3029D"/>
    <w:multiLevelType w:val="hybridMultilevel"/>
    <w:tmpl w:val="BC52504A"/>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55678"/>
    <w:multiLevelType w:val="hybridMultilevel"/>
    <w:tmpl w:val="0A580F88"/>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3041D2"/>
    <w:multiLevelType w:val="hybridMultilevel"/>
    <w:tmpl w:val="BC7A3F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035C1C"/>
    <w:multiLevelType w:val="hybridMultilevel"/>
    <w:tmpl w:val="DA28D214"/>
    <w:lvl w:ilvl="0" w:tplc="D0F02C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3F07C9"/>
    <w:multiLevelType w:val="hybridMultilevel"/>
    <w:tmpl w:val="1CF8AA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0F2AF2"/>
    <w:multiLevelType w:val="hybridMultilevel"/>
    <w:tmpl w:val="8578E036"/>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786FD4"/>
    <w:multiLevelType w:val="hybridMultilevel"/>
    <w:tmpl w:val="BC2685CE"/>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21C63"/>
    <w:multiLevelType w:val="hybridMultilevel"/>
    <w:tmpl w:val="8B90BB6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6E3F47"/>
    <w:multiLevelType w:val="hybridMultilevel"/>
    <w:tmpl w:val="79DC4D24"/>
    <w:lvl w:ilvl="0" w:tplc="6778DE1E">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2241046">
    <w:abstractNumId w:val="22"/>
  </w:num>
  <w:num w:numId="2" w16cid:durableId="291059597">
    <w:abstractNumId w:val="4"/>
  </w:num>
  <w:num w:numId="3" w16cid:durableId="1656374013">
    <w:abstractNumId w:val="5"/>
  </w:num>
  <w:num w:numId="4" w16cid:durableId="1289046315">
    <w:abstractNumId w:val="7"/>
  </w:num>
  <w:num w:numId="5" w16cid:durableId="566693080">
    <w:abstractNumId w:val="1"/>
  </w:num>
  <w:num w:numId="6" w16cid:durableId="2000965823">
    <w:abstractNumId w:val="2"/>
  </w:num>
  <w:num w:numId="7" w16cid:durableId="1860387733">
    <w:abstractNumId w:val="12"/>
  </w:num>
  <w:num w:numId="8" w16cid:durableId="373505578">
    <w:abstractNumId w:val="16"/>
  </w:num>
  <w:num w:numId="9" w16cid:durableId="80639416">
    <w:abstractNumId w:val="21"/>
  </w:num>
  <w:num w:numId="10" w16cid:durableId="261185767">
    <w:abstractNumId w:val="19"/>
  </w:num>
  <w:num w:numId="11" w16cid:durableId="1439518762">
    <w:abstractNumId w:val="25"/>
  </w:num>
  <w:num w:numId="12" w16cid:durableId="1836804444">
    <w:abstractNumId w:val="14"/>
  </w:num>
  <w:num w:numId="13" w16cid:durableId="1826236193">
    <w:abstractNumId w:val="24"/>
  </w:num>
  <w:num w:numId="14" w16cid:durableId="2042121405">
    <w:abstractNumId w:val="26"/>
  </w:num>
  <w:num w:numId="15" w16cid:durableId="621112127">
    <w:abstractNumId w:val="18"/>
  </w:num>
  <w:num w:numId="16" w16cid:durableId="753286416">
    <w:abstractNumId w:val="6"/>
  </w:num>
  <w:num w:numId="17" w16cid:durableId="1238982078">
    <w:abstractNumId w:val="15"/>
  </w:num>
  <w:num w:numId="18" w16cid:durableId="1610241956">
    <w:abstractNumId w:val="9"/>
  </w:num>
  <w:num w:numId="19" w16cid:durableId="190267659">
    <w:abstractNumId w:val="17"/>
  </w:num>
  <w:num w:numId="20" w16cid:durableId="1442144619">
    <w:abstractNumId w:val="13"/>
  </w:num>
  <w:num w:numId="21" w16cid:durableId="769738266">
    <w:abstractNumId w:val="10"/>
  </w:num>
  <w:num w:numId="22" w16cid:durableId="456871754">
    <w:abstractNumId w:val="23"/>
  </w:num>
  <w:num w:numId="23" w16cid:durableId="1247959864">
    <w:abstractNumId w:val="0"/>
  </w:num>
  <w:num w:numId="24" w16cid:durableId="1480347145">
    <w:abstractNumId w:val="20"/>
  </w:num>
  <w:num w:numId="25" w16cid:durableId="859199119">
    <w:abstractNumId w:val="8"/>
  </w:num>
  <w:num w:numId="26" w16cid:durableId="904877181">
    <w:abstractNumId w:val="3"/>
  </w:num>
  <w:num w:numId="27" w16cid:durableId="167248829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14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312"/>
    <w:rsid w:val="00026DFE"/>
    <w:rsid w:val="00030258"/>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1FAE"/>
    <w:rsid w:val="000522C8"/>
    <w:rsid w:val="0005234E"/>
    <w:rsid w:val="000524BA"/>
    <w:rsid w:val="000528A9"/>
    <w:rsid w:val="00056B3C"/>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3411"/>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B6530"/>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268F8"/>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1A"/>
    <w:rsid w:val="001623D7"/>
    <w:rsid w:val="00162CE7"/>
    <w:rsid w:val="001665AC"/>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1E2F"/>
    <w:rsid w:val="001961BE"/>
    <w:rsid w:val="001963C3"/>
    <w:rsid w:val="001968D2"/>
    <w:rsid w:val="001974DE"/>
    <w:rsid w:val="00197912"/>
    <w:rsid w:val="001A0092"/>
    <w:rsid w:val="001A03F4"/>
    <w:rsid w:val="001A22DF"/>
    <w:rsid w:val="001A3353"/>
    <w:rsid w:val="001A5928"/>
    <w:rsid w:val="001A6B38"/>
    <w:rsid w:val="001B08C8"/>
    <w:rsid w:val="001B099A"/>
    <w:rsid w:val="001B3DB7"/>
    <w:rsid w:val="001B4EA4"/>
    <w:rsid w:val="001B5B86"/>
    <w:rsid w:val="001B6DD8"/>
    <w:rsid w:val="001C0008"/>
    <w:rsid w:val="001C04A2"/>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0060"/>
    <w:rsid w:val="001F3D42"/>
    <w:rsid w:val="001F6B96"/>
    <w:rsid w:val="001F737D"/>
    <w:rsid w:val="001F7381"/>
    <w:rsid w:val="001F7544"/>
    <w:rsid w:val="0020113A"/>
    <w:rsid w:val="002023E5"/>
    <w:rsid w:val="0020246D"/>
    <w:rsid w:val="0020375F"/>
    <w:rsid w:val="00203C7F"/>
    <w:rsid w:val="002105CC"/>
    <w:rsid w:val="002127C3"/>
    <w:rsid w:val="002129F0"/>
    <w:rsid w:val="00214879"/>
    <w:rsid w:val="0021606F"/>
    <w:rsid w:val="00216AB1"/>
    <w:rsid w:val="002176BE"/>
    <w:rsid w:val="00217C6B"/>
    <w:rsid w:val="002208FA"/>
    <w:rsid w:val="00221C38"/>
    <w:rsid w:val="00225489"/>
    <w:rsid w:val="00225D67"/>
    <w:rsid w:val="00226259"/>
    <w:rsid w:val="0023254C"/>
    <w:rsid w:val="00233651"/>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77EC4"/>
    <w:rsid w:val="00281545"/>
    <w:rsid w:val="00283DBF"/>
    <w:rsid w:val="00286192"/>
    <w:rsid w:val="002911F0"/>
    <w:rsid w:val="00291367"/>
    <w:rsid w:val="00293070"/>
    <w:rsid w:val="00293D32"/>
    <w:rsid w:val="00295F43"/>
    <w:rsid w:val="00295F64"/>
    <w:rsid w:val="0029602C"/>
    <w:rsid w:val="002963F3"/>
    <w:rsid w:val="00297CA5"/>
    <w:rsid w:val="002A08C4"/>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2A5"/>
    <w:rsid w:val="002D687F"/>
    <w:rsid w:val="002D6D8B"/>
    <w:rsid w:val="002D6F0D"/>
    <w:rsid w:val="002D7E17"/>
    <w:rsid w:val="002E26B1"/>
    <w:rsid w:val="002E2C2C"/>
    <w:rsid w:val="002E3471"/>
    <w:rsid w:val="002E4073"/>
    <w:rsid w:val="002E4BD4"/>
    <w:rsid w:val="002E5273"/>
    <w:rsid w:val="002E5EA6"/>
    <w:rsid w:val="002E63E3"/>
    <w:rsid w:val="002F0F73"/>
    <w:rsid w:val="002F2445"/>
    <w:rsid w:val="002F3E52"/>
    <w:rsid w:val="002F70A3"/>
    <w:rsid w:val="002F7723"/>
    <w:rsid w:val="00300147"/>
    <w:rsid w:val="00300FBE"/>
    <w:rsid w:val="00301FAB"/>
    <w:rsid w:val="00302912"/>
    <w:rsid w:val="003053EE"/>
    <w:rsid w:val="003108C5"/>
    <w:rsid w:val="003112E0"/>
    <w:rsid w:val="00311F4C"/>
    <w:rsid w:val="00312ACC"/>
    <w:rsid w:val="00313570"/>
    <w:rsid w:val="003135DA"/>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2C9"/>
    <w:rsid w:val="0036150D"/>
    <w:rsid w:val="003627F3"/>
    <w:rsid w:val="003628CE"/>
    <w:rsid w:val="00363463"/>
    <w:rsid w:val="00363B78"/>
    <w:rsid w:val="00364CD6"/>
    <w:rsid w:val="00370041"/>
    <w:rsid w:val="003714CB"/>
    <w:rsid w:val="00373584"/>
    <w:rsid w:val="00375A4F"/>
    <w:rsid w:val="00375E23"/>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B7A70"/>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6953"/>
    <w:rsid w:val="0045713A"/>
    <w:rsid w:val="00460B6B"/>
    <w:rsid w:val="00461E18"/>
    <w:rsid w:val="0046216E"/>
    <w:rsid w:val="00466151"/>
    <w:rsid w:val="00466534"/>
    <w:rsid w:val="00467C3B"/>
    <w:rsid w:val="004702A9"/>
    <w:rsid w:val="004717EB"/>
    <w:rsid w:val="00472701"/>
    <w:rsid w:val="0047284E"/>
    <w:rsid w:val="00472D36"/>
    <w:rsid w:val="00473E31"/>
    <w:rsid w:val="00474801"/>
    <w:rsid w:val="00474AF7"/>
    <w:rsid w:val="00475A6E"/>
    <w:rsid w:val="0047648C"/>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06D6"/>
    <w:rsid w:val="004A25CE"/>
    <w:rsid w:val="004A3150"/>
    <w:rsid w:val="004A4520"/>
    <w:rsid w:val="004A4872"/>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2A5"/>
    <w:rsid w:val="004D0DBE"/>
    <w:rsid w:val="004D25C1"/>
    <w:rsid w:val="004D27DC"/>
    <w:rsid w:val="004D28C1"/>
    <w:rsid w:val="004D660F"/>
    <w:rsid w:val="004E03B6"/>
    <w:rsid w:val="004E197C"/>
    <w:rsid w:val="004E3C45"/>
    <w:rsid w:val="004E4103"/>
    <w:rsid w:val="004F2C69"/>
    <w:rsid w:val="004F4081"/>
    <w:rsid w:val="004F4A98"/>
    <w:rsid w:val="004F59E0"/>
    <w:rsid w:val="004F5A91"/>
    <w:rsid w:val="004F5ADB"/>
    <w:rsid w:val="00505795"/>
    <w:rsid w:val="0050663E"/>
    <w:rsid w:val="005077AE"/>
    <w:rsid w:val="0051044C"/>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4ED0"/>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63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329F"/>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2950"/>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0D"/>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1AAE"/>
    <w:rsid w:val="006736C3"/>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174C"/>
    <w:rsid w:val="006A18E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380F"/>
    <w:rsid w:val="006B69E0"/>
    <w:rsid w:val="006C0A0C"/>
    <w:rsid w:val="006C17E4"/>
    <w:rsid w:val="006C2030"/>
    <w:rsid w:val="006C23DC"/>
    <w:rsid w:val="006C37FB"/>
    <w:rsid w:val="006C4F92"/>
    <w:rsid w:val="006C6A50"/>
    <w:rsid w:val="006C704E"/>
    <w:rsid w:val="006D12AD"/>
    <w:rsid w:val="006D1624"/>
    <w:rsid w:val="006D1B09"/>
    <w:rsid w:val="006D3F70"/>
    <w:rsid w:val="006D4BCA"/>
    <w:rsid w:val="006E2FA2"/>
    <w:rsid w:val="006E3BCA"/>
    <w:rsid w:val="006E41F0"/>
    <w:rsid w:val="006F134A"/>
    <w:rsid w:val="006F161B"/>
    <w:rsid w:val="006F1A48"/>
    <w:rsid w:val="006F2BD5"/>
    <w:rsid w:val="006F35F2"/>
    <w:rsid w:val="006F3CB0"/>
    <w:rsid w:val="006F4376"/>
    <w:rsid w:val="006F52B6"/>
    <w:rsid w:val="006F5960"/>
    <w:rsid w:val="00702452"/>
    <w:rsid w:val="007025C3"/>
    <w:rsid w:val="00704717"/>
    <w:rsid w:val="00710FEB"/>
    <w:rsid w:val="007110E7"/>
    <w:rsid w:val="007111FE"/>
    <w:rsid w:val="007117A8"/>
    <w:rsid w:val="00713204"/>
    <w:rsid w:val="007158ED"/>
    <w:rsid w:val="00715FB6"/>
    <w:rsid w:val="007179F7"/>
    <w:rsid w:val="0072127C"/>
    <w:rsid w:val="00721842"/>
    <w:rsid w:val="00722A5F"/>
    <w:rsid w:val="00723716"/>
    <w:rsid w:val="00724EB8"/>
    <w:rsid w:val="007275CC"/>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6804"/>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2248"/>
    <w:rsid w:val="00784498"/>
    <w:rsid w:val="00786D57"/>
    <w:rsid w:val="007974EC"/>
    <w:rsid w:val="007A00D5"/>
    <w:rsid w:val="007A0477"/>
    <w:rsid w:val="007A0D60"/>
    <w:rsid w:val="007A0D72"/>
    <w:rsid w:val="007A1C46"/>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B653E"/>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2197"/>
    <w:rsid w:val="008045FD"/>
    <w:rsid w:val="00805C3A"/>
    <w:rsid w:val="00807808"/>
    <w:rsid w:val="008113FE"/>
    <w:rsid w:val="00811756"/>
    <w:rsid w:val="0081363D"/>
    <w:rsid w:val="00813734"/>
    <w:rsid w:val="008162C3"/>
    <w:rsid w:val="00816543"/>
    <w:rsid w:val="00816923"/>
    <w:rsid w:val="00821E08"/>
    <w:rsid w:val="008256B2"/>
    <w:rsid w:val="00825C98"/>
    <w:rsid w:val="0082615D"/>
    <w:rsid w:val="008277E0"/>
    <w:rsid w:val="0083063E"/>
    <w:rsid w:val="008306E9"/>
    <w:rsid w:val="00830A56"/>
    <w:rsid w:val="00830AA1"/>
    <w:rsid w:val="00830C44"/>
    <w:rsid w:val="00830FD0"/>
    <w:rsid w:val="00831328"/>
    <w:rsid w:val="00832F9C"/>
    <w:rsid w:val="008339A1"/>
    <w:rsid w:val="00833D12"/>
    <w:rsid w:val="00840851"/>
    <w:rsid w:val="00840894"/>
    <w:rsid w:val="00841B6B"/>
    <w:rsid w:val="008429AD"/>
    <w:rsid w:val="008446F0"/>
    <w:rsid w:val="00846CCB"/>
    <w:rsid w:val="0084755D"/>
    <w:rsid w:val="00853C6E"/>
    <w:rsid w:val="008545B3"/>
    <w:rsid w:val="0085544A"/>
    <w:rsid w:val="00857EA6"/>
    <w:rsid w:val="0086081D"/>
    <w:rsid w:val="00864E5B"/>
    <w:rsid w:val="00865480"/>
    <w:rsid w:val="008655C2"/>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9610F"/>
    <w:rsid w:val="008A1778"/>
    <w:rsid w:val="008A1C05"/>
    <w:rsid w:val="008A2430"/>
    <w:rsid w:val="008A419F"/>
    <w:rsid w:val="008A4403"/>
    <w:rsid w:val="008A5A8F"/>
    <w:rsid w:val="008A6D2E"/>
    <w:rsid w:val="008A6F75"/>
    <w:rsid w:val="008A7DA9"/>
    <w:rsid w:val="008A7F2F"/>
    <w:rsid w:val="008B18F5"/>
    <w:rsid w:val="008B3331"/>
    <w:rsid w:val="008B77F4"/>
    <w:rsid w:val="008C0548"/>
    <w:rsid w:val="008C0582"/>
    <w:rsid w:val="008C103F"/>
    <w:rsid w:val="008C1BB0"/>
    <w:rsid w:val="008C1DB6"/>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64EA"/>
    <w:rsid w:val="008F7067"/>
    <w:rsid w:val="008F78F2"/>
    <w:rsid w:val="008F7AC6"/>
    <w:rsid w:val="00901703"/>
    <w:rsid w:val="00904335"/>
    <w:rsid w:val="009048F5"/>
    <w:rsid w:val="009053E4"/>
    <w:rsid w:val="00910A6C"/>
    <w:rsid w:val="00911233"/>
    <w:rsid w:val="00912BBE"/>
    <w:rsid w:val="0091463F"/>
    <w:rsid w:val="009146B6"/>
    <w:rsid w:val="00915015"/>
    <w:rsid w:val="0091628B"/>
    <w:rsid w:val="009169AF"/>
    <w:rsid w:val="009173E2"/>
    <w:rsid w:val="0091785F"/>
    <w:rsid w:val="009239F4"/>
    <w:rsid w:val="00923B6B"/>
    <w:rsid w:val="00923DE6"/>
    <w:rsid w:val="0092605E"/>
    <w:rsid w:val="00927571"/>
    <w:rsid w:val="00927A98"/>
    <w:rsid w:val="00927DBD"/>
    <w:rsid w:val="00927E5A"/>
    <w:rsid w:val="009303E5"/>
    <w:rsid w:val="00930659"/>
    <w:rsid w:val="00931A9C"/>
    <w:rsid w:val="00931D60"/>
    <w:rsid w:val="00932180"/>
    <w:rsid w:val="00932873"/>
    <w:rsid w:val="00932EF3"/>
    <w:rsid w:val="00937C63"/>
    <w:rsid w:val="009402C0"/>
    <w:rsid w:val="00941283"/>
    <w:rsid w:val="00941CF4"/>
    <w:rsid w:val="00941F96"/>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2C6A"/>
    <w:rsid w:val="0098688A"/>
    <w:rsid w:val="0099338C"/>
    <w:rsid w:val="009937DB"/>
    <w:rsid w:val="00996EA7"/>
    <w:rsid w:val="009A0728"/>
    <w:rsid w:val="009A0A71"/>
    <w:rsid w:val="009A28F6"/>
    <w:rsid w:val="009A34DE"/>
    <w:rsid w:val="009A417A"/>
    <w:rsid w:val="009A670F"/>
    <w:rsid w:val="009A6B39"/>
    <w:rsid w:val="009A6EC6"/>
    <w:rsid w:val="009A7F40"/>
    <w:rsid w:val="009B1EFD"/>
    <w:rsid w:val="009B29E1"/>
    <w:rsid w:val="009B3722"/>
    <w:rsid w:val="009B7E16"/>
    <w:rsid w:val="009C2D6B"/>
    <w:rsid w:val="009C47F3"/>
    <w:rsid w:val="009D0E49"/>
    <w:rsid w:val="009D18DA"/>
    <w:rsid w:val="009D1984"/>
    <w:rsid w:val="009D1D29"/>
    <w:rsid w:val="009D39A2"/>
    <w:rsid w:val="009D3B08"/>
    <w:rsid w:val="009D52E6"/>
    <w:rsid w:val="009D58AF"/>
    <w:rsid w:val="009D5A11"/>
    <w:rsid w:val="009D7F77"/>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874"/>
    <w:rsid w:val="00A05960"/>
    <w:rsid w:val="00A05E6D"/>
    <w:rsid w:val="00A0635D"/>
    <w:rsid w:val="00A06A6E"/>
    <w:rsid w:val="00A10FF8"/>
    <w:rsid w:val="00A12CED"/>
    <w:rsid w:val="00A13384"/>
    <w:rsid w:val="00A14459"/>
    <w:rsid w:val="00A144AB"/>
    <w:rsid w:val="00A16463"/>
    <w:rsid w:val="00A17356"/>
    <w:rsid w:val="00A174B9"/>
    <w:rsid w:val="00A20064"/>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577C1"/>
    <w:rsid w:val="00A603C4"/>
    <w:rsid w:val="00A61924"/>
    <w:rsid w:val="00A61ACF"/>
    <w:rsid w:val="00A62033"/>
    <w:rsid w:val="00A62A9C"/>
    <w:rsid w:val="00A64140"/>
    <w:rsid w:val="00A667CD"/>
    <w:rsid w:val="00A701B4"/>
    <w:rsid w:val="00A718D9"/>
    <w:rsid w:val="00A759E2"/>
    <w:rsid w:val="00A77733"/>
    <w:rsid w:val="00A801D4"/>
    <w:rsid w:val="00A837E8"/>
    <w:rsid w:val="00A84A20"/>
    <w:rsid w:val="00A860A9"/>
    <w:rsid w:val="00A91720"/>
    <w:rsid w:val="00A92CB8"/>
    <w:rsid w:val="00A96126"/>
    <w:rsid w:val="00AA1F13"/>
    <w:rsid w:val="00AA43ED"/>
    <w:rsid w:val="00AA6226"/>
    <w:rsid w:val="00AA6A3D"/>
    <w:rsid w:val="00AA780E"/>
    <w:rsid w:val="00AB2962"/>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0789"/>
    <w:rsid w:val="00B525C3"/>
    <w:rsid w:val="00B60CB8"/>
    <w:rsid w:val="00B63F11"/>
    <w:rsid w:val="00B650FA"/>
    <w:rsid w:val="00B65D56"/>
    <w:rsid w:val="00B66177"/>
    <w:rsid w:val="00B66DE6"/>
    <w:rsid w:val="00B70DDE"/>
    <w:rsid w:val="00B71883"/>
    <w:rsid w:val="00B7219E"/>
    <w:rsid w:val="00B7410D"/>
    <w:rsid w:val="00B752C4"/>
    <w:rsid w:val="00B77371"/>
    <w:rsid w:val="00B81212"/>
    <w:rsid w:val="00B81ACA"/>
    <w:rsid w:val="00B81B84"/>
    <w:rsid w:val="00B8373E"/>
    <w:rsid w:val="00B83E33"/>
    <w:rsid w:val="00B84C04"/>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CE7"/>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46F"/>
    <w:rsid w:val="00BF1FDA"/>
    <w:rsid w:val="00BF4BAE"/>
    <w:rsid w:val="00BF6CEE"/>
    <w:rsid w:val="00C00E2E"/>
    <w:rsid w:val="00C02114"/>
    <w:rsid w:val="00C057B3"/>
    <w:rsid w:val="00C05A37"/>
    <w:rsid w:val="00C0605F"/>
    <w:rsid w:val="00C10337"/>
    <w:rsid w:val="00C10E8E"/>
    <w:rsid w:val="00C10F4A"/>
    <w:rsid w:val="00C10FD9"/>
    <w:rsid w:val="00C117B4"/>
    <w:rsid w:val="00C11A46"/>
    <w:rsid w:val="00C129C8"/>
    <w:rsid w:val="00C13554"/>
    <w:rsid w:val="00C13FC2"/>
    <w:rsid w:val="00C14A38"/>
    <w:rsid w:val="00C15B6E"/>
    <w:rsid w:val="00C23A76"/>
    <w:rsid w:val="00C23FCE"/>
    <w:rsid w:val="00C240FB"/>
    <w:rsid w:val="00C24A34"/>
    <w:rsid w:val="00C259CC"/>
    <w:rsid w:val="00C264D8"/>
    <w:rsid w:val="00C30D72"/>
    <w:rsid w:val="00C324BB"/>
    <w:rsid w:val="00C34E44"/>
    <w:rsid w:val="00C36869"/>
    <w:rsid w:val="00C3711A"/>
    <w:rsid w:val="00C37E8F"/>
    <w:rsid w:val="00C403E4"/>
    <w:rsid w:val="00C418F9"/>
    <w:rsid w:val="00C420FA"/>
    <w:rsid w:val="00C43167"/>
    <w:rsid w:val="00C45B6B"/>
    <w:rsid w:val="00C4619E"/>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6ED2"/>
    <w:rsid w:val="00C77736"/>
    <w:rsid w:val="00C811E5"/>
    <w:rsid w:val="00C817A8"/>
    <w:rsid w:val="00C84C96"/>
    <w:rsid w:val="00C8510D"/>
    <w:rsid w:val="00C851D1"/>
    <w:rsid w:val="00C90610"/>
    <w:rsid w:val="00C907D2"/>
    <w:rsid w:val="00C91403"/>
    <w:rsid w:val="00C918C7"/>
    <w:rsid w:val="00C91C0E"/>
    <w:rsid w:val="00C92B60"/>
    <w:rsid w:val="00C9521C"/>
    <w:rsid w:val="00C96F92"/>
    <w:rsid w:val="00C9744D"/>
    <w:rsid w:val="00C97650"/>
    <w:rsid w:val="00C97940"/>
    <w:rsid w:val="00CA0AF3"/>
    <w:rsid w:val="00CA1382"/>
    <w:rsid w:val="00CA21DB"/>
    <w:rsid w:val="00CA2647"/>
    <w:rsid w:val="00CA307C"/>
    <w:rsid w:val="00CA3144"/>
    <w:rsid w:val="00CA4039"/>
    <w:rsid w:val="00CA5877"/>
    <w:rsid w:val="00CA7BDE"/>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3E29"/>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EAB"/>
    <w:rsid w:val="00D35040"/>
    <w:rsid w:val="00D36611"/>
    <w:rsid w:val="00D36E5F"/>
    <w:rsid w:val="00D40094"/>
    <w:rsid w:val="00D41E71"/>
    <w:rsid w:val="00D42F44"/>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27E"/>
    <w:rsid w:val="00D775B8"/>
    <w:rsid w:val="00D77C28"/>
    <w:rsid w:val="00D77E31"/>
    <w:rsid w:val="00D77E5D"/>
    <w:rsid w:val="00D83DD9"/>
    <w:rsid w:val="00D8458F"/>
    <w:rsid w:val="00D84725"/>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10A"/>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3EE4"/>
    <w:rsid w:val="00E24C3B"/>
    <w:rsid w:val="00E24D44"/>
    <w:rsid w:val="00E2513B"/>
    <w:rsid w:val="00E301F4"/>
    <w:rsid w:val="00E32284"/>
    <w:rsid w:val="00E324BC"/>
    <w:rsid w:val="00E33758"/>
    <w:rsid w:val="00E370D8"/>
    <w:rsid w:val="00E410DA"/>
    <w:rsid w:val="00E426F8"/>
    <w:rsid w:val="00E43E0A"/>
    <w:rsid w:val="00E452D3"/>
    <w:rsid w:val="00E464D8"/>
    <w:rsid w:val="00E50230"/>
    <w:rsid w:val="00E53AE4"/>
    <w:rsid w:val="00E54407"/>
    <w:rsid w:val="00E545BF"/>
    <w:rsid w:val="00E54780"/>
    <w:rsid w:val="00E54F2C"/>
    <w:rsid w:val="00E572BF"/>
    <w:rsid w:val="00E5782B"/>
    <w:rsid w:val="00E61F08"/>
    <w:rsid w:val="00E62150"/>
    <w:rsid w:val="00E63B27"/>
    <w:rsid w:val="00E64725"/>
    <w:rsid w:val="00E656C9"/>
    <w:rsid w:val="00E6598A"/>
    <w:rsid w:val="00E66A6A"/>
    <w:rsid w:val="00E67E51"/>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3CA"/>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137D"/>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571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145B"/>
    <w:rsid w:val="00F93BBD"/>
    <w:rsid w:val="00F94141"/>
    <w:rsid w:val="00F95497"/>
    <w:rsid w:val="00F96A86"/>
    <w:rsid w:val="00FA05EB"/>
    <w:rsid w:val="00FA43E0"/>
    <w:rsid w:val="00FA60F9"/>
    <w:rsid w:val="00FB076E"/>
    <w:rsid w:val="00FB0B91"/>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37F0"/>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 w:val="00FF6C5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40AFD"/>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DB"/>
    <w:pPr>
      <w:spacing w:after="0" w:line="240" w:lineRule="auto"/>
    </w:pPr>
  </w:style>
  <w:style w:type="paragraph" w:styleId="Titre1">
    <w:name w:val="heading 1"/>
    <w:basedOn w:val="Normal"/>
    <w:next w:val="Normal"/>
    <w:link w:val="Titre1Car"/>
    <w:qFormat/>
    <w:rsid w:val="00802197"/>
    <w:pPr>
      <w:keepNext/>
      <w:ind w:left="851" w:hanging="851"/>
      <w:outlineLvl w:val="0"/>
    </w:pPr>
    <w:rPr>
      <w:rFonts w:cs="Arial"/>
      <w:b/>
      <w:bCs/>
      <w:color w:val="003D82"/>
      <w:sz w:val="32"/>
      <w:szCs w:val="32"/>
      <w:lang w:val="en-GB"/>
    </w:rPr>
  </w:style>
  <w:style w:type="paragraph" w:styleId="Titre2">
    <w:name w:val="heading 2"/>
    <w:basedOn w:val="Paragraphedeliste"/>
    <w:next w:val="Normal"/>
    <w:link w:val="Titre2Car"/>
    <w:uiPriority w:val="9"/>
    <w:unhideWhenUsed/>
    <w:qFormat/>
    <w:rsid w:val="00C403E4"/>
    <w:pPr>
      <w:ind w:left="1134" w:hanging="1134"/>
      <w:outlineLvl w:val="1"/>
    </w:pPr>
    <w:rPr>
      <w:bCs/>
      <w:color w:val="003D82"/>
      <w:sz w:val="32"/>
      <w:szCs w:val="32"/>
      <w:u w:val="single"/>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02197"/>
    <w:rPr>
      <w:rFonts w:cs="Arial"/>
      <w:b/>
      <w:bCs/>
      <w:color w:val="003D82"/>
      <w:sz w:val="32"/>
      <w:szCs w:val="32"/>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C403E4"/>
    <w:rPr>
      <w:bCs/>
      <w:color w:val="003D82"/>
      <w:sz w:val="32"/>
      <w:szCs w:val="32"/>
      <w:u w:val="single"/>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 w:type="character" w:styleId="Mentionnonrsolue">
    <w:name w:val="Unresolved Mention"/>
    <w:basedOn w:val="Policepardfaut"/>
    <w:uiPriority w:val="99"/>
    <w:semiHidden/>
    <w:unhideWhenUsed/>
    <w:rsid w:val="00A06A6E"/>
    <w:rPr>
      <w:color w:val="605E5C"/>
      <w:shd w:val="clear" w:color="auto" w:fill="E1DFDD"/>
    </w:rPr>
  </w:style>
  <w:style w:type="paragraph" w:styleId="Notedebasdepage">
    <w:name w:val="footnote text"/>
    <w:basedOn w:val="Normal"/>
    <w:link w:val="NotedebasdepageCar"/>
    <w:uiPriority w:val="99"/>
    <w:semiHidden/>
    <w:unhideWhenUsed/>
    <w:rsid w:val="00864E5B"/>
    <w:rPr>
      <w:sz w:val="20"/>
      <w:szCs w:val="20"/>
    </w:rPr>
  </w:style>
  <w:style w:type="character" w:customStyle="1" w:styleId="NotedebasdepageCar">
    <w:name w:val="Note de bas de page Car"/>
    <w:basedOn w:val="Policepardfaut"/>
    <w:link w:val="Notedebasdepage"/>
    <w:uiPriority w:val="99"/>
    <w:semiHidden/>
    <w:rsid w:val="00864E5B"/>
    <w:rPr>
      <w:sz w:val="20"/>
      <w:szCs w:val="20"/>
    </w:rPr>
  </w:style>
  <w:style w:type="character" w:styleId="Appelnotedebasdep">
    <w:name w:val="footnote reference"/>
    <w:basedOn w:val="Policepardfaut"/>
    <w:uiPriority w:val="99"/>
    <w:semiHidden/>
    <w:unhideWhenUsed/>
    <w:rsid w:val="00864E5B"/>
    <w:rPr>
      <w:vertAlign w:val="superscript"/>
    </w:rPr>
  </w:style>
  <w:style w:type="paragraph" w:customStyle="1" w:styleId="Question">
    <w:name w:val="Question"/>
    <w:basedOn w:val="Normal"/>
    <w:link w:val="QuestionCar"/>
    <w:qFormat/>
    <w:rsid w:val="00756804"/>
    <w:rPr>
      <w:rFonts w:eastAsia="Calibri" w:cs="Arial"/>
      <w:color w:val="1F497D"/>
      <w:lang w:val="en-GB"/>
    </w:rPr>
  </w:style>
  <w:style w:type="character" w:customStyle="1" w:styleId="QuestionCar">
    <w:name w:val="Question Car"/>
    <w:basedOn w:val="Policepardfaut"/>
    <w:link w:val="Question"/>
    <w:rsid w:val="00756804"/>
    <w:rPr>
      <w:rFonts w:eastAsia="Calibri" w:cs="Arial"/>
      <w:color w:val="1F497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094935542">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2676-8377-410B-AC99-A7CCC205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635</TotalTime>
  <Pages>3</Pages>
  <Words>646</Words>
  <Characters>3554</Characters>
  <Application>Microsoft Office Word</Application>
  <DocSecurity>0</DocSecurity>
  <Lines>29</Lines>
  <Paragraphs>8</Paragraphs>
  <ScaleCrop>false</ScaleCrop>
  <HeadingPairs>
    <vt:vector size="10" baseType="variant">
      <vt:variant>
        <vt:lpstr>Titre</vt:lpstr>
      </vt:variant>
      <vt:variant>
        <vt:i4>1</vt:i4>
      </vt:variant>
      <vt:variant>
        <vt:lpstr>Titres</vt:lpstr>
      </vt:variant>
      <vt:variant>
        <vt:i4>4</vt:i4>
      </vt:variant>
      <vt:variant>
        <vt:lpstr>Titel</vt:lpstr>
      </vt:variant>
      <vt:variant>
        <vt:i4>1</vt:i4>
      </vt:variant>
      <vt:variant>
        <vt:lpstr>Title</vt:lpstr>
      </vt:variant>
      <vt:variant>
        <vt:i4>1</vt:i4>
      </vt:variant>
      <vt:variant>
        <vt:lpstr>Rubrik</vt:lpstr>
      </vt:variant>
      <vt:variant>
        <vt:i4>1</vt:i4>
      </vt:variant>
    </vt:vector>
  </HeadingPairs>
  <TitlesOfParts>
    <vt:vector size="8" baseType="lpstr">
      <vt:lpstr>EBU Position Paper</vt:lpstr>
      <vt:lpstr>European Blind Union response to the European Commission’s public consultation o</vt:lpstr>
      <vt:lpstr>Aim of the consultation</vt:lpstr>
      <vt:lpstr>Response</vt:lpstr>
      <vt:lpstr>About EBU</vt:lpstr>
      <vt:lpstr>AVA - Accessible Voting Awareness-Raising</vt:lpstr>
      <vt:lpstr>AVA - Accessible Voting Awareness-Raising</vt:lpstr>
      <vt:lpstr/>
    </vt:vector>
  </TitlesOfParts>
  <Company>Synskadades Riksförbund</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Antoine FOBE</cp:lastModifiedBy>
  <cp:revision>96</cp:revision>
  <cp:lastPrinted>2021-12-13T11:16:00Z</cp:lastPrinted>
  <dcterms:created xsi:type="dcterms:W3CDTF">2019-03-19T10:22:00Z</dcterms:created>
  <dcterms:modified xsi:type="dcterms:W3CDTF">2022-05-04T08:18:00Z</dcterms:modified>
</cp:coreProperties>
</file>